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B993BC6" w14:textId="77777777" w:rsidR="0061021D" w:rsidRPr="0061021D" w:rsidRDefault="0061021D" w:rsidP="0061021D">
      <w:pPr>
        <w:spacing w:before="100" w:beforeAutospacing="1" w:after="100" w:afterAutospacing="1" w:line="240" w:lineRule="auto"/>
        <w:outlineLvl w:val="0"/>
        <w:rPr>
          <w:rFonts w:ascii="Times New Roman" w:eastAsia="Times New Roman" w:hAnsi="Times New Roman" w:cs="Times New Roman"/>
          <w:b/>
          <w:bCs/>
          <w:kern w:val="36"/>
          <w:sz w:val="48"/>
          <w:szCs w:val="48"/>
        </w:rPr>
      </w:pPr>
      <w:r w:rsidRPr="0061021D">
        <w:rPr>
          <w:rFonts w:ascii="Times New Roman" w:eastAsia="Times New Roman" w:hAnsi="Times New Roman" w:cs="Times New Roman"/>
          <w:b/>
          <w:bCs/>
          <w:kern w:val="36"/>
          <w:sz w:val="48"/>
          <w:szCs w:val="48"/>
        </w:rPr>
        <w:t>The legal nonconforming rights trilogy in Ontario</w:t>
      </w:r>
    </w:p>
    <w:p w14:paraId="6096E87B" w14:textId="704EDE47" w:rsidR="0061021D" w:rsidRPr="0061021D" w:rsidRDefault="0061021D" w:rsidP="0061021D">
      <w:pPr>
        <w:spacing w:after="0" w:line="240" w:lineRule="auto"/>
        <w:rPr>
          <w:rFonts w:ascii="Times New Roman" w:eastAsia="Times New Roman" w:hAnsi="Times New Roman" w:cs="Times New Roman"/>
          <w:szCs w:val="24"/>
        </w:rPr>
      </w:pPr>
      <w:r w:rsidRPr="0061021D">
        <w:rPr>
          <w:rFonts w:ascii="Times New Roman" w:eastAsia="Times New Roman" w:hAnsi="Times New Roman" w:cs="Times New Roman"/>
          <w:szCs w:val="24"/>
        </w:rPr>
        <w:t xml:space="preserve">14 May 2021 </w:t>
      </w:r>
      <w:r>
        <w:rPr>
          <w:rFonts w:ascii="Times New Roman" w:eastAsia="Times New Roman" w:hAnsi="Times New Roman" w:cs="Times New Roman"/>
          <w:szCs w:val="24"/>
        </w:rPr>
        <w:br/>
      </w:r>
      <w:hyperlink r:id="rId5" w:history="1">
        <w:r w:rsidRPr="0061021D">
          <w:rPr>
            <w:rStyle w:val="Hyperlink"/>
            <w:rFonts w:ascii="Times New Roman" w:eastAsia="Times New Roman" w:hAnsi="Times New Roman" w:cs="Times New Roman"/>
            <w:szCs w:val="24"/>
          </w:rPr>
          <w:t>https://gowlingwlg.com/en/insights-resources/articles/2021/legal-nonconforming-rights-trilogy-in-ontario/</w:t>
        </w:r>
      </w:hyperlink>
    </w:p>
    <w:p w14:paraId="71EF567A" w14:textId="77777777" w:rsidR="0061021D" w:rsidRPr="0061021D" w:rsidRDefault="0061021D" w:rsidP="0061021D">
      <w:pPr>
        <w:spacing w:before="100" w:beforeAutospacing="1" w:after="100" w:afterAutospacing="1" w:line="240" w:lineRule="auto"/>
        <w:rPr>
          <w:rFonts w:ascii="Times New Roman" w:eastAsia="Times New Roman" w:hAnsi="Times New Roman" w:cs="Times New Roman"/>
          <w:szCs w:val="24"/>
        </w:rPr>
      </w:pPr>
      <w:r w:rsidRPr="0061021D">
        <w:rPr>
          <w:rFonts w:ascii="Times New Roman" w:eastAsia="Times New Roman" w:hAnsi="Times New Roman" w:cs="Times New Roman"/>
          <w:szCs w:val="24"/>
        </w:rPr>
        <w:t xml:space="preserve">The concept of legal nonconforming rights (also known as "acquired rights" or "grandfathering") has undergone a great deal of evolution and clarification in recent years. The municipal group at </w:t>
      </w:r>
      <w:proofErr w:type="spellStart"/>
      <w:r w:rsidRPr="0061021D">
        <w:rPr>
          <w:rFonts w:ascii="Times New Roman" w:eastAsia="Times New Roman" w:hAnsi="Times New Roman" w:cs="Times New Roman"/>
          <w:szCs w:val="24"/>
        </w:rPr>
        <w:t>Gowling</w:t>
      </w:r>
      <w:proofErr w:type="spellEnd"/>
      <w:r w:rsidRPr="0061021D">
        <w:rPr>
          <w:rFonts w:ascii="Times New Roman" w:eastAsia="Times New Roman" w:hAnsi="Times New Roman" w:cs="Times New Roman"/>
          <w:szCs w:val="24"/>
        </w:rPr>
        <w:t xml:space="preserve"> WLG is proud to have participated in a number of the cases that have solidified property owners' rights.</w:t>
      </w:r>
    </w:p>
    <w:p w14:paraId="05D58A33" w14:textId="753AC0FE" w:rsidR="0061021D" w:rsidRPr="0061021D" w:rsidRDefault="0061021D" w:rsidP="0061021D">
      <w:pPr>
        <w:spacing w:after="240" w:line="240" w:lineRule="auto"/>
        <w:rPr>
          <w:rFonts w:ascii="Times New Roman" w:eastAsia="Times New Roman" w:hAnsi="Times New Roman" w:cs="Times New Roman"/>
          <w:szCs w:val="24"/>
        </w:rPr>
      </w:pPr>
    </w:p>
    <w:p w14:paraId="6C236E03" w14:textId="77777777" w:rsidR="0061021D" w:rsidRPr="0061021D" w:rsidRDefault="0061021D" w:rsidP="0061021D">
      <w:pPr>
        <w:spacing w:before="100" w:beforeAutospacing="1" w:after="100" w:afterAutospacing="1" w:line="240" w:lineRule="auto"/>
        <w:rPr>
          <w:rFonts w:ascii="Times New Roman" w:eastAsia="Times New Roman" w:hAnsi="Times New Roman" w:cs="Times New Roman"/>
          <w:szCs w:val="24"/>
        </w:rPr>
      </w:pPr>
      <w:r w:rsidRPr="0061021D">
        <w:rPr>
          <w:rFonts w:ascii="Times New Roman" w:eastAsia="Times New Roman" w:hAnsi="Times New Roman" w:cs="Times New Roman"/>
          <w:szCs w:val="24"/>
        </w:rPr>
        <w:t>Legal nonconforming rights are one of the most powerful protections afforded to landowners under land use planning law. The concept provides that, simply put, zoning by-laws cannot apply retroactively. If a use of land, a building, or a structure was legal on Monday, a zoning by-law passed that day cannot render it illegal by Tuesday.</w:t>
      </w:r>
    </w:p>
    <w:p w14:paraId="26405EBB" w14:textId="77777777" w:rsidR="0061021D" w:rsidRPr="0061021D" w:rsidRDefault="0061021D" w:rsidP="0061021D">
      <w:pPr>
        <w:spacing w:before="100" w:beforeAutospacing="1" w:after="100" w:afterAutospacing="1" w:line="240" w:lineRule="auto"/>
        <w:rPr>
          <w:rFonts w:ascii="Times New Roman" w:eastAsia="Times New Roman" w:hAnsi="Times New Roman" w:cs="Times New Roman"/>
          <w:szCs w:val="24"/>
        </w:rPr>
      </w:pPr>
      <w:r w:rsidRPr="0061021D">
        <w:rPr>
          <w:rFonts w:ascii="Times New Roman" w:eastAsia="Times New Roman" w:hAnsi="Times New Roman" w:cs="Times New Roman"/>
          <w:szCs w:val="24"/>
        </w:rPr>
        <w:t xml:space="preserve">The concept is codified in s. 34(9) of the </w:t>
      </w:r>
      <w:r w:rsidRPr="0061021D">
        <w:rPr>
          <w:rFonts w:ascii="Times New Roman" w:eastAsia="Times New Roman" w:hAnsi="Times New Roman" w:cs="Times New Roman"/>
          <w:i/>
          <w:iCs/>
          <w:szCs w:val="24"/>
        </w:rPr>
        <w:t>Planning Act</w:t>
      </w:r>
      <w:r w:rsidRPr="0061021D">
        <w:rPr>
          <w:rFonts w:ascii="Times New Roman" w:eastAsia="Times New Roman" w:hAnsi="Times New Roman" w:cs="Times New Roman"/>
          <w:szCs w:val="24"/>
        </w:rPr>
        <w:t xml:space="preserve">, which explicitly provides that a zoning by-law cannot prohibit the use of land, a building, or a structure that was lawfully commenced on the date the by-law was passed. Under the common law, the protections for legally nonconforming rights are even stronger. A series of decisions dating back to the 1950s, including from the Supreme Court, have established that owners also have a right to evolve or reasonably expand or intensify a legally nonconforming use, provided that the evolution, expansion or intensification does not cause undue adverse impacts on the surrounding </w:t>
      </w:r>
      <w:proofErr w:type="spellStart"/>
      <w:r w:rsidRPr="0061021D">
        <w:rPr>
          <w:rFonts w:ascii="Times New Roman" w:eastAsia="Times New Roman" w:hAnsi="Times New Roman" w:cs="Times New Roman"/>
          <w:szCs w:val="24"/>
        </w:rPr>
        <w:t>neighbourhood</w:t>
      </w:r>
      <w:proofErr w:type="spellEnd"/>
      <w:r w:rsidRPr="0061021D">
        <w:rPr>
          <w:rFonts w:ascii="Times New Roman" w:eastAsia="Times New Roman" w:hAnsi="Times New Roman" w:cs="Times New Roman"/>
          <w:szCs w:val="24"/>
        </w:rPr>
        <w:t xml:space="preserve"> or area.</w:t>
      </w:r>
    </w:p>
    <w:p w14:paraId="0E7EE64E" w14:textId="77777777" w:rsidR="0061021D" w:rsidRPr="0061021D" w:rsidRDefault="0061021D" w:rsidP="0061021D">
      <w:pPr>
        <w:spacing w:before="100" w:beforeAutospacing="1" w:after="100" w:afterAutospacing="1" w:line="240" w:lineRule="auto"/>
        <w:rPr>
          <w:rFonts w:ascii="Times New Roman" w:eastAsia="Times New Roman" w:hAnsi="Times New Roman" w:cs="Times New Roman"/>
          <w:szCs w:val="24"/>
        </w:rPr>
      </w:pPr>
      <w:r w:rsidRPr="0061021D">
        <w:rPr>
          <w:rFonts w:ascii="Times New Roman" w:eastAsia="Times New Roman" w:hAnsi="Times New Roman" w:cs="Times New Roman"/>
          <w:szCs w:val="24"/>
        </w:rPr>
        <w:t>For clarification, "legally" and "lawfully" has nothing to do with building permits. It is simply a measurement of whether the use was allowed by zoning bylaws. Indeed, if a structure predates zoning bylaws on the property, then it is permitted to continue.</w:t>
      </w:r>
    </w:p>
    <w:p w14:paraId="355604EB" w14:textId="77777777" w:rsidR="0061021D" w:rsidRPr="0061021D" w:rsidRDefault="0061021D" w:rsidP="0061021D">
      <w:pPr>
        <w:spacing w:before="100" w:beforeAutospacing="1" w:after="100" w:afterAutospacing="1" w:line="240" w:lineRule="auto"/>
        <w:rPr>
          <w:rFonts w:ascii="Times New Roman" w:eastAsia="Times New Roman" w:hAnsi="Times New Roman" w:cs="Times New Roman"/>
          <w:szCs w:val="24"/>
        </w:rPr>
      </w:pPr>
      <w:r w:rsidRPr="0061021D">
        <w:rPr>
          <w:rFonts w:ascii="Times New Roman" w:eastAsia="Times New Roman" w:hAnsi="Times New Roman" w:cs="Times New Roman"/>
          <w:szCs w:val="24"/>
        </w:rPr>
        <w:t xml:space="preserve">Despite their importance to landowners, the full scope of legal nonconforming rights </w:t>
      </w:r>
      <w:proofErr w:type="gramStart"/>
      <w:r w:rsidRPr="0061021D">
        <w:rPr>
          <w:rFonts w:ascii="Times New Roman" w:eastAsia="Times New Roman" w:hAnsi="Times New Roman" w:cs="Times New Roman"/>
          <w:szCs w:val="24"/>
        </w:rPr>
        <w:t>are</w:t>
      </w:r>
      <w:proofErr w:type="gramEnd"/>
      <w:r w:rsidRPr="0061021D">
        <w:rPr>
          <w:rFonts w:ascii="Times New Roman" w:eastAsia="Times New Roman" w:hAnsi="Times New Roman" w:cs="Times New Roman"/>
          <w:szCs w:val="24"/>
        </w:rPr>
        <w:t xml:space="preserve"> often not well understood, either by the property owners that benefit from them, their lawyers, land-use planners, or the municipal decision-makers that must respect them. Legal nonconforming rights are also a frequent source of tension between landowners and municipalities. Too often, municipal decision-makers intentionally seek to curtail property owners' legally nonconforming rights, viewing those rights as mere impediments to municipal policy, rather than important and established legal protections. It is a truism that "planners like to plan".</w:t>
      </w:r>
    </w:p>
    <w:p w14:paraId="40078942" w14:textId="77777777" w:rsidR="0061021D" w:rsidRPr="0061021D" w:rsidRDefault="0061021D" w:rsidP="0061021D">
      <w:pPr>
        <w:spacing w:before="100" w:beforeAutospacing="1" w:after="100" w:afterAutospacing="1" w:line="240" w:lineRule="auto"/>
        <w:rPr>
          <w:rFonts w:ascii="Times New Roman" w:eastAsia="Times New Roman" w:hAnsi="Times New Roman" w:cs="Times New Roman"/>
          <w:szCs w:val="24"/>
        </w:rPr>
      </w:pPr>
      <w:proofErr w:type="gramStart"/>
      <w:r w:rsidRPr="0061021D">
        <w:rPr>
          <w:rFonts w:ascii="Times New Roman" w:eastAsia="Times New Roman" w:hAnsi="Times New Roman" w:cs="Times New Roman"/>
          <w:szCs w:val="24"/>
        </w:rPr>
        <w:t>However</w:t>
      </w:r>
      <w:proofErr w:type="gramEnd"/>
      <w:r w:rsidRPr="0061021D">
        <w:rPr>
          <w:rFonts w:ascii="Times New Roman" w:eastAsia="Times New Roman" w:hAnsi="Times New Roman" w:cs="Times New Roman"/>
          <w:szCs w:val="24"/>
        </w:rPr>
        <w:t xml:space="preserve"> a trilogy of cases successfully argued by </w:t>
      </w:r>
      <w:proofErr w:type="spellStart"/>
      <w:r w:rsidRPr="0061021D">
        <w:rPr>
          <w:rFonts w:ascii="Times New Roman" w:eastAsia="Times New Roman" w:hAnsi="Times New Roman" w:cs="Times New Roman"/>
          <w:szCs w:val="24"/>
        </w:rPr>
        <w:t>Gowling</w:t>
      </w:r>
      <w:proofErr w:type="spellEnd"/>
      <w:r w:rsidRPr="0061021D">
        <w:rPr>
          <w:rFonts w:ascii="Times New Roman" w:eastAsia="Times New Roman" w:hAnsi="Times New Roman" w:cs="Times New Roman"/>
          <w:szCs w:val="24"/>
        </w:rPr>
        <w:t xml:space="preserve"> WLG Ottawa's Municipal Group have clarified the state of the law in Ontario regarding legal nonconforming rights in Ontario. This series of cases commenced in 2009 with the Ontario Municipal Board's ("OMB") decision in </w:t>
      </w:r>
      <w:r w:rsidRPr="0061021D">
        <w:rPr>
          <w:rFonts w:ascii="Times New Roman" w:eastAsia="Times New Roman" w:hAnsi="Times New Roman" w:cs="Times New Roman"/>
          <w:i/>
          <w:iCs/>
          <w:szCs w:val="24"/>
        </w:rPr>
        <w:t>Re TDL Group Corp.</w:t>
      </w:r>
      <w:r w:rsidRPr="0061021D">
        <w:rPr>
          <w:rFonts w:ascii="Times New Roman" w:eastAsia="Times New Roman" w:hAnsi="Times New Roman" w:cs="Times New Roman"/>
          <w:szCs w:val="24"/>
        </w:rPr>
        <w:t>,</w:t>
      </w:r>
      <w:bookmarkStart w:id="0" w:name="_ftnref1"/>
      <w:r w:rsidRPr="0061021D">
        <w:rPr>
          <w:rFonts w:ascii="Times New Roman" w:eastAsia="Times New Roman" w:hAnsi="Times New Roman" w:cs="Times New Roman"/>
          <w:szCs w:val="24"/>
          <w:vertAlign w:val="superscript"/>
        </w:rPr>
        <w:fldChar w:fldCharType="begin"/>
      </w:r>
      <w:r w:rsidRPr="0061021D">
        <w:rPr>
          <w:rFonts w:ascii="Times New Roman" w:eastAsia="Times New Roman" w:hAnsi="Times New Roman" w:cs="Times New Roman"/>
          <w:szCs w:val="24"/>
          <w:vertAlign w:val="superscript"/>
        </w:rPr>
        <w:instrText xml:space="preserve"> HYPERLINK "https://gowlingwlg.com/en/insights-resources/articles/2021/legal-nonconforming-rights-trilogy-in-ontario/" \l "_ftn1" \o "" </w:instrText>
      </w:r>
      <w:r w:rsidRPr="0061021D">
        <w:rPr>
          <w:rFonts w:ascii="Times New Roman" w:eastAsia="Times New Roman" w:hAnsi="Times New Roman" w:cs="Times New Roman"/>
          <w:szCs w:val="24"/>
          <w:vertAlign w:val="superscript"/>
        </w:rPr>
        <w:fldChar w:fldCharType="separate"/>
      </w:r>
      <w:r w:rsidRPr="0061021D">
        <w:rPr>
          <w:rFonts w:ascii="Times New Roman" w:eastAsia="Times New Roman" w:hAnsi="Times New Roman" w:cs="Times New Roman"/>
          <w:color w:val="0000FF"/>
          <w:szCs w:val="24"/>
          <w:u w:val="single"/>
          <w:vertAlign w:val="superscript"/>
        </w:rPr>
        <w:t>[1]</w:t>
      </w:r>
      <w:r w:rsidRPr="0061021D">
        <w:rPr>
          <w:rFonts w:ascii="Times New Roman" w:eastAsia="Times New Roman" w:hAnsi="Times New Roman" w:cs="Times New Roman"/>
          <w:szCs w:val="24"/>
          <w:vertAlign w:val="superscript"/>
        </w:rPr>
        <w:fldChar w:fldCharType="end"/>
      </w:r>
      <w:bookmarkEnd w:id="0"/>
      <w:r w:rsidRPr="0061021D">
        <w:rPr>
          <w:rFonts w:ascii="Times New Roman" w:eastAsia="Times New Roman" w:hAnsi="Times New Roman" w:cs="Times New Roman"/>
          <w:i/>
          <w:iCs/>
          <w:szCs w:val="24"/>
        </w:rPr>
        <w:t xml:space="preserve"> </w:t>
      </w:r>
      <w:r w:rsidRPr="0061021D">
        <w:rPr>
          <w:rFonts w:ascii="Times New Roman" w:eastAsia="Times New Roman" w:hAnsi="Times New Roman" w:cs="Times New Roman"/>
          <w:szCs w:val="24"/>
        </w:rPr>
        <w:t>which was subsequently upheld by the Ontario Divisional Court.</w:t>
      </w:r>
      <w:bookmarkStart w:id="1" w:name="_ftnref2"/>
      <w:r w:rsidRPr="0061021D">
        <w:rPr>
          <w:rFonts w:ascii="Times New Roman" w:eastAsia="Times New Roman" w:hAnsi="Times New Roman" w:cs="Times New Roman"/>
          <w:szCs w:val="24"/>
          <w:vertAlign w:val="superscript"/>
        </w:rPr>
        <w:fldChar w:fldCharType="begin"/>
      </w:r>
      <w:r w:rsidRPr="0061021D">
        <w:rPr>
          <w:rFonts w:ascii="Times New Roman" w:eastAsia="Times New Roman" w:hAnsi="Times New Roman" w:cs="Times New Roman"/>
          <w:szCs w:val="24"/>
          <w:vertAlign w:val="superscript"/>
        </w:rPr>
        <w:instrText xml:space="preserve"> HYPERLINK "https://gowlingwlg.com/en/insights-resources/articles/2021/legal-nonconforming-rights-trilogy-in-ontario/" \l "_ftn2" \o "" </w:instrText>
      </w:r>
      <w:r w:rsidRPr="0061021D">
        <w:rPr>
          <w:rFonts w:ascii="Times New Roman" w:eastAsia="Times New Roman" w:hAnsi="Times New Roman" w:cs="Times New Roman"/>
          <w:szCs w:val="24"/>
          <w:vertAlign w:val="superscript"/>
        </w:rPr>
        <w:fldChar w:fldCharType="separate"/>
      </w:r>
      <w:r w:rsidRPr="0061021D">
        <w:rPr>
          <w:rFonts w:ascii="Times New Roman" w:eastAsia="Times New Roman" w:hAnsi="Times New Roman" w:cs="Times New Roman"/>
          <w:color w:val="0000FF"/>
          <w:szCs w:val="24"/>
          <w:u w:val="single"/>
          <w:vertAlign w:val="superscript"/>
        </w:rPr>
        <w:t>[2]</w:t>
      </w:r>
      <w:r w:rsidRPr="0061021D">
        <w:rPr>
          <w:rFonts w:ascii="Times New Roman" w:eastAsia="Times New Roman" w:hAnsi="Times New Roman" w:cs="Times New Roman"/>
          <w:szCs w:val="24"/>
          <w:vertAlign w:val="superscript"/>
        </w:rPr>
        <w:fldChar w:fldCharType="end"/>
      </w:r>
      <w:bookmarkEnd w:id="1"/>
      <w:r w:rsidRPr="0061021D">
        <w:rPr>
          <w:rFonts w:ascii="Times New Roman" w:eastAsia="Times New Roman" w:hAnsi="Times New Roman" w:cs="Times New Roman"/>
          <w:szCs w:val="24"/>
        </w:rPr>
        <w:t xml:space="preserve"> In 2018, the OMB relied on </w:t>
      </w:r>
      <w:r w:rsidRPr="0061021D">
        <w:rPr>
          <w:rFonts w:ascii="Times New Roman" w:eastAsia="Times New Roman" w:hAnsi="Times New Roman" w:cs="Times New Roman"/>
          <w:i/>
          <w:iCs/>
          <w:szCs w:val="24"/>
        </w:rPr>
        <w:t xml:space="preserve">TDL </w:t>
      </w:r>
      <w:r w:rsidRPr="0061021D">
        <w:rPr>
          <w:rFonts w:ascii="Times New Roman" w:eastAsia="Times New Roman" w:hAnsi="Times New Roman" w:cs="Times New Roman"/>
          <w:szCs w:val="24"/>
        </w:rPr>
        <w:t xml:space="preserve">in </w:t>
      </w:r>
      <w:r w:rsidRPr="0061021D">
        <w:rPr>
          <w:rFonts w:ascii="Times New Roman" w:eastAsia="Times New Roman" w:hAnsi="Times New Roman" w:cs="Times New Roman"/>
          <w:i/>
          <w:iCs/>
          <w:szCs w:val="24"/>
        </w:rPr>
        <w:t>Brougham v. South Frontenac,</w:t>
      </w:r>
      <w:bookmarkStart w:id="2" w:name="_ftnref3"/>
      <w:r w:rsidRPr="0061021D">
        <w:rPr>
          <w:rFonts w:ascii="Times New Roman" w:eastAsia="Times New Roman" w:hAnsi="Times New Roman" w:cs="Times New Roman"/>
          <w:szCs w:val="24"/>
          <w:vertAlign w:val="superscript"/>
        </w:rPr>
        <w:fldChar w:fldCharType="begin"/>
      </w:r>
      <w:r w:rsidRPr="0061021D">
        <w:rPr>
          <w:rFonts w:ascii="Times New Roman" w:eastAsia="Times New Roman" w:hAnsi="Times New Roman" w:cs="Times New Roman"/>
          <w:szCs w:val="24"/>
          <w:vertAlign w:val="superscript"/>
        </w:rPr>
        <w:instrText xml:space="preserve"> HYPERLINK "https://gowlingwlg.com/en/insights-resources/articles/2021/legal-nonconforming-rights-trilogy-in-ontario/" \l "_ftn3" \o "" </w:instrText>
      </w:r>
      <w:r w:rsidRPr="0061021D">
        <w:rPr>
          <w:rFonts w:ascii="Times New Roman" w:eastAsia="Times New Roman" w:hAnsi="Times New Roman" w:cs="Times New Roman"/>
          <w:szCs w:val="24"/>
          <w:vertAlign w:val="superscript"/>
        </w:rPr>
        <w:fldChar w:fldCharType="separate"/>
      </w:r>
      <w:r w:rsidRPr="0061021D">
        <w:rPr>
          <w:rFonts w:ascii="Times New Roman" w:eastAsia="Times New Roman" w:hAnsi="Times New Roman" w:cs="Times New Roman"/>
          <w:color w:val="0000FF"/>
          <w:szCs w:val="24"/>
          <w:u w:val="single"/>
          <w:vertAlign w:val="superscript"/>
        </w:rPr>
        <w:t>[3]</w:t>
      </w:r>
      <w:r w:rsidRPr="0061021D">
        <w:rPr>
          <w:rFonts w:ascii="Times New Roman" w:eastAsia="Times New Roman" w:hAnsi="Times New Roman" w:cs="Times New Roman"/>
          <w:szCs w:val="24"/>
          <w:vertAlign w:val="superscript"/>
        </w:rPr>
        <w:fldChar w:fldCharType="end"/>
      </w:r>
      <w:bookmarkEnd w:id="2"/>
      <w:r w:rsidRPr="0061021D">
        <w:rPr>
          <w:rFonts w:ascii="Times New Roman" w:eastAsia="Times New Roman" w:hAnsi="Times New Roman" w:cs="Times New Roman"/>
          <w:szCs w:val="24"/>
        </w:rPr>
        <w:t xml:space="preserve"> which further expanded the </w:t>
      </w:r>
      <w:r w:rsidRPr="0061021D">
        <w:rPr>
          <w:rFonts w:ascii="Times New Roman" w:eastAsia="Times New Roman" w:hAnsi="Times New Roman" w:cs="Times New Roman"/>
          <w:szCs w:val="24"/>
        </w:rPr>
        <w:lastRenderedPageBreak/>
        <w:t xml:space="preserve">protections for legally nonconforming uses. Finally, in 2020, the Local Planning Appeal Tribunal ("LPAT", the successor to the OMB) completed the Trilogy with its decision in </w:t>
      </w:r>
      <w:r w:rsidRPr="0061021D">
        <w:rPr>
          <w:rFonts w:ascii="Times New Roman" w:eastAsia="Times New Roman" w:hAnsi="Times New Roman" w:cs="Times New Roman"/>
          <w:i/>
          <w:iCs/>
          <w:szCs w:val="24"/>
        </w:rPr>
        <w:t>Fraser v. Rideau Lakes</w:t>
      </w:r>
      <w:r w:rsidRPr="0061021D">
        <w:rPr>
          <w:rFonts w:ascii="Times New Roman" w:eastAsia="Times New Roman" w:hAnsi="Times New Roman" w:cs="Times New Roman"/>
          <w:szCs w:val="24"/>
        </w:rPr>
        <w:t>.</w:t>
      </w:r>
      <w:bookmarkStart w:id="3" w:name="_ftnref4"/>
      <w:r w:rsidRPr="0061021D">
        <w:rPr>
          <w:rFonts w:ascii="Times New Roman" w:eastAsia="Times New Roman" w:hAnsi="Times New Roman" w:cs="Times New Roman"/>
          <w:szCs w:val="24"/>
          <w:vertAlign w:val="superscript"/>
        </w:rPr>
        <w:fldChar w:fldCharType="begin"/>
      </w:r>
      <w:r w:rsidRPr="0061021D">
        <w:rPr>
          <w:rFonts w:ascii="Times New Roman" w:eastAsia="Times New Roman" w:hAnsi="Times New Roman" w:cs="Times New Roman"/>
          <w:szCs w:val="24"/>
          <w:vertAlign w:val="superscript"/>
        </w:rPr>
        <w:instrText xml:space="preserve"> HYPERLINK "https://gowlingwlg.com/en/insights-resources/articles/2021/legal-nonconforming-rights-trilogy-in-ontario/" \l "_ftn4" \o "" </w:instrText>
      </w:r>
      <w:r w:rsidRPr="0061021D">
        <w:rPr>
          <w:rFonts w:ascii="Times New Roman" w:eastAsia="Times New Roman" w:hAnsi="Times New Roman" w:cs="Times New Roman"/>
          <w:szCs w:val="24"/>
          <w:vertAlign w:val="superscript"/>
        </w:rPr>
        <w:fldChar w:fldCharType="separate"/>
      </w:r>
      <w:r w:rsidRPr="0061021D">
        <w:rPr>
          <w:rFonts w:ascii="Times New Roman" w:eastAsia="Times New Roman" w:hAnsi="Times New Roman" w:cs="Times New Roman"/>
          <w:color w:val="0000FF"/>
          <w:szCs w:val="24"/>
          <w:u w:val="single"/>
          <w:vertAlign w:val="superscript"/>
        </w:rPr>
        <w:t>[4]</w:t>
      </w:r>
      <w:r w:rsidRPr="0061021D">
        <w:rPr>
          <w:rFonts w:ascii="Times New Roman" w:eastAsia="Times New Roman" w:hAnsi="Times New Roman" w:cs="Times New Roman"/>
          <w:szCs w:val="24"/>
          <w:vertAlign w:val="superscript"/>
        </w:rPr>
        <w:fldChar w:fldCharType="end"/>
      </w:r>
      <w:bookmarkEnd w:id="3"/>
    </w:p>
    <w:p w14:paraId="7C29734D" w14:textId="77777777" w:rsidR="0061021D" w:rsidRPr="0061021D" w:rsidRDefault="0061021D" w:rsidP="0061021D">
      <w:pPr>
        <w:spacing w:before="100" w:beforeAutospacing="1" w:after="100" w:afterAutospacing="1" w:line="240" w:lineRule="auto"/>
        <w:rPr>
          <w:rFonts w:ascii="Times New Roman" w:eastAsia="Times New Roman" w:hAnsi="Times New Roman" w:cs="Times New Roman"/>
          <w:szCs w:val="24"/>
        </w:rPr>
      </w:pPr>
      <w:r w:rsidRPr="0061021D">
        <w:rPr>
          <w:rFonts w:ascii="Times New Roman" w:eastAsia="Times New Roman" w:hAnsi="Times New Roman" w:cs="Times New Roman"/>
          <w:szCs w:val="24"/>
        </w:rPr>
        <w:t>Together, these cases have clarified and expanded clarified and expanded the protections and flexibility for property owners with legally non-conforming rights, including by rendering zoning bylaws and Official Plans</w:t>
      </w:r>
      <w:r w:rsidRPr="0061021D">
        <w:rPr>
          <w:rFonts w:ascii="Times New Roman" w:eastAsia="Times New Roman" w:hAnsi="Times New Roman" w:cs="Times New Roman"/>
          <w:i/>
          <w:iCs/>
          <w:szCs w:val="24"/>
        </w:rPr>
        <w:t xml:space="preserve"> </w:t>
      </w:r>
      <w:r w:rsidRPr="0061021D">
        <w:rPr>
          <w:rFonts w:ascii="Times New Roman" w:eastAsia="Times New Roman" w:hAnsi="Times New Roman" w:cs="Times New Roman"/>
          <w:szCs w:val="24"/>
        </w:rPr>
        <w:t>ultra vires</w:t>
      </w:r>
      <w:r w:rsidRPr="0061021D">
        <w:rPr>
          <w:rFonts w:ascii="Times New Roman" w:eastAsia="Times New Roman" w:hAnsi="Times New Roman" w:cs="Times New Roman"/>
          <w:i/>
          <w:iCs/>
          <w:szCs w:val="24"/>
        </w:rPr>
        <w:t xml:space="preserve"> </w:t>
      </w:r>
      <w:r w:rsidRPr="0061021D">
        <w:rPr>
          <w:rFonts w:ascii="Times New Roman" w:eastAsia="Times New Roman" w:hAnsi="Times New Roman" w:cs="Times New Roman"/>
          <w:szCs w:val="24"/>
        </w:rPr>
        <w:t>when they purported to limit or eliminate those rights.</w:t>
      </w:r>
    </w:p>
    <w:p w14:paraId="5D39585E" w14:textId="77777777" w:rsidR="0061021D" w:rsidRPr="0061021D" w:rsidRDefault="0061021D" w:rsidP="0061021D">
      <w:pPr>
        <w:spacing w:before="100" w:beforeAutospacing="1" w:after="100" w:afterAutospacing="1" w:line="240" w:lineRule="auto"/>
        <w:outlineLvl w:val="1"/>
        <w:rPr>
          <w:rFonts w:ascii="Times New Roman" w:eastAsia="Times New Roman" w:hAnsi="Times New Roman" w:cs="Times New Roman"/>
          <w:b/>
          <w:bCs/>
          <w:sz w:val="36"/>
          <w:szCs w:val="36"/>
        </w:rPr>
      </w:pPr>
      <w:r w:rsidRPr="0061021D">
        <w:rPr>
          <w:rFonts w:ascii="Times New Roman" w:eastAsia="Times New Roman" w:hAnsi="Times New Roman" w:cs="Times New Roman"/>
          <w:b/>
          <w:bCs/>
          <w:sz w:val="36"/>
          <w:szCs w:val="36"/>
        </w:rPr>
        <w:t xml:space="preserve">The Supreme Court's formulation of nonconforming rights – </w:t>
      </w:r>
      <w:r w:rsidRPr="0061021D">
        <w:rPr>
          <w:rFonts w:ascii="Times New Roman" w:eastAsia="Times New Roman" w:hAnsi="Times New Roman" w:cs="Times New Roman"/>
          <w:b/>
          <w:bCs/>
          <w:i/>
          <w:iCs/>
          <w:sz w:val="36"/>
          <w:szCs w:val="36"/>
        </w:rPr>
        <w:t>Central Jewish Institute and Saint Romuald</w:t>
      </w:r>
    </w:p>
    <w:p w14:paraId="7BFFF0AD" w14:textId="77777777" w:rsidR="0061021D" w:rsidRPr="0061021D" w:rsidRDefault="0061021D" w:rsidP="0061021D">
      <w:pPr>
        <w:spacing w:before="100" w:beforeAutospacing="1" w:after="100" w:afterAutospacing="1" w:line="240" w:lineRule="auto"/>
        <w:rPr>
          <w:rFonts w:ascii="Times New Roman" w:eastAsia="Times New Roman" w:hAnsi="Times New Roman" w:cs="Times New Roman"/>
          <w:szCs w:val="24"/>
        </w:rPr>
      </w:pPr>
      <w:r w:rsidRPr="0061021D">
        <w:rPr>
          <w:rFonts w:ascii="Times New Roman" w:eastAsia="Times New Roman" w:hAnsi="Times New Roman" w:cs="Times New Roman"/>
          <w:szCs w:val="24"/>
        </w:rPr>
        <w:t xml:space="preserve">Two Supreme Court of Canada decisions, separated by more than 50 years, form the basis of our Trilogy of cases. In the first, </w:t>
      </w:r>
      <w:r w:rsidRPr="0061021D">
        <w:rPr>
          <w:rFonts w:ascii="Times New Roman" w:eastAsia="Times New Roman" w:hAnsi="Times New Roman" w:cs="Times New Roman"/>
          <w:i/>
          <w:iCs/>
          <w:szCs w:val="24"/>
        </w:rPr>
        <w:t>Central Jewish Institute</w:t>
      </w:r>
      <w:r w:rsidRPr="0061021D">
        <w:rPr>
          <w:rFonts w:ascii="Times New Roman" w:eastAsia="Times New Roman" w:hAnsi="Times New Roman" w:cs="Times New Roman"/>
          <w:szCs w:val="24"/>
        </w:rPr>
        <w:t>,</w:t>
      </w:r>
      <w:bookmarkStart w:id="4" w:name="_ftnref5"/>
      <w:r w:rsidRPr="0061021D">
        <w:rPr>
          <w:rFonts w:ascii="Times New Roman" w:eastAsia="Times New Roman" w:hAnsi="Times New Roman" w:cs="Times New Roman"/>
          <w:szCs w:val="24"/>
          <w:vertAlign w:val="superscript"/>
        </w:rPr>
        <w:fldChar w:fldCharType="begin"/>
      </w:r>
      <w:r w:rsidRPr="0061021D">
        <w:rPr>
          <w:rFonts w:ascii="Times New Roman" w:eastAsia="Times New Roman" w:hAnsi="Times New Roman" w:cs="Times New Roman"/>
          <w:szCs w:val="24"/>
          <w:vertAlign w:val="superscript"/>
        </w:rPr>
        <w:instrText xml:space="preserve"> HYPERLINK "https://gowlingwlg.com/en/insights-resources/articles/2021/legal-nonconforming-rights-trilogy-in-ontario/" \l "_ftn5" \o "" </w:instrText>
      </w:r>
      <w:r w:rsidRPr="0061021D">
        <w:rPr>
          <w:rFonts w:ascii="Times New Roman" w:eastAsia="Times New Roman" w:hAnsi="Times New Roman" w:cs="Times New Roman"/>
          <w:szCs w:val="24"/>
          <w:vertAlign w:val="superscript"/>
        </w:rPr>
        <w:fldChar w:fldCharType="separate"/>
      </w:r>
      <w:r w:rsidRPr="0061021D">
        <w:rPr>
          <w:rFonts w:ascii="Times New Roman" w:eastAsia="Times New Roman" w:hAnsi="Times New Roman" w:cs="Times New Roman"/>
          <w:color w:val="0000FF"/>
          <w:szCs w:val="24"/>
          <w:u w:val="single"/>
          <w:vertAlign w:val="superscript"/>
        </w:rPr>
        <w:t>[5]</w:t>
      </w:r>
      <w:r w:rsidRPr="0061021D">
        <w:rPr>
          <w:rFonts w:ascii="Times New Roman" w:eastAsia="Times New Roman" w:hAnsi="Times New Roman" w:cs="Times New Roman"/>
          <w:szCs w:val="24"/>
          <w:vertAlign w:val="superscript"/>
        </w:rPr>
        <w:fldChar w:fldCharType="end"/>
      </w:r>
      <w:bookmarkEnd w:id="4"/>
      <w:r w:rsidRPr="0061021D">
        <w:rPr>
          <w:rFonts w:ascii="Times New Roman" w:eastAsia="Times New Roman" w:hAnsi="Times New Roman" w:cs="Times New Roman"/>
          <w:szCs w:val="24"/>
        </w:rPr>
        <w:t xml:space="preserve"> the Supreme Court established that because the protection of legally nonconforming rights attaches to a building, a nonconforming use of only part of a building can later be expanded to the entire building, as of right. For example, a legally nonconforming restaurant that occupies only the first floor of a building can expand to the second floor, even after the enactment of a zoning by-law purporting to prohibit the use in that location.</w:t>
      </w:r>
    </w:p>
    <w:p w14:paraId="24C11795" w14:textId="77777777" w:rsidR="0061021D" w:rsidRPr="0061021D" w:rsidRDefault="0061021D" w:rsidP="0061021D">
      <w:pPr>
        <w:spacing w:before="100" w:beforeAutospacing="1" w:after="100" w:afterAutospacing="1" w:line="240" w:lineRule="auto"/>
        <w:rPr>
          <w:rFonts w:ascii="Times New Roman" w:eastAsia="Times New Roman" w:hAnsi="Times New Roman" w:cs="Times New Roman"/>
          <w:szCs w:val="24"/>
        </w:rPr>
      </w:pPr>
      <w:r w:rsidRPr="0061021D">
        <w:rPr>
          <w:rFonts w:ascii="Times New Roman" w:eastAsia="Times New Roman" w:hAnsi="Times New Roman" w:cs="Times New Roman"/>
          <w:szCs w:val="24"/>
        </w:rPr>
        <w:t xml:space="preserve">In the second decision, </w:t>
      </w:r>
      <w:r w:rsidRPr="0061021D">
        <w:rPr>
          <w:rFonts w:ascii="Times New Roman" w:eastAsia="Times New Roman" w:hAnsi="Times New Roman" w:cs="Times New Roman"/>
          <w:i/>
          <w:iCs/>
          <w:szCs w:val="24"/>
        </w:rPr>
        <w:t>Saint-Romuald</w:t>
      </w:r>
      <w:r w:rsidRPr="0061021D">
        <w:rPr>
          <w:rFonts w:ascii="Times New Roman" w:eastAsia="Times New Roman" w:hAnsi="Times New Roman" w:cs="Times New Roman"/>
          <w:szCs w:val="24"/>
        </w:rPr>
        <w:t>,</w:t>
      </w:r>
      <w:bookmarkStart w:id="5" w:name="_ftnref6"/>
      <w:r w:rsidRPr="0061021D">
        <w:rPr>
          <w:rFonts w:ascii="Times New Roman" w:eastAsia="Times New Roman" w:hAnsi="Times New Roman" w:cs="Times New Roman"/>
          <w:szCs w:val="24"/>
          <w:vertAlign w:val="superscript"/>
        </w:rPr>
        <w:fldChar w:fldCharType="begin"/>
      </w:r>
      <w:r w:rsidRPr="0061021D">
        <w:rPr>
          <w:rFonts w:ascii="Times New Roman" w:eastAsia="Times New Roman" w:hAnsi="Times New Roman" w:cs="Times New Roman"/>
          <w:szCs w:val="24"/>
          <w:vertAlign w:val="superscript"/>
        </w:rPr>
        <w:instrText xml:space="preserve"> HYPERLINK "https://gowlingwlg.com/en/insights-resources/articles/2021/legal-nonconforming-rights-trilogy-in-ontario/" \l "_ftn6" \o "" </w:instrText>
      </w:r>
      <w:r w:rsidRPr="0061021D">
        <w:rPr>
          <w:rFonts w:ascii="Times New Roman" w:eastAsia="Times New Roman" w:hAnsi="Times New Roman" w:cs="Times New Roman"/>
          <w:szCs w:val="24"/>
          <w:vertAlign w:val="superscript"/>
        </w:rPr>
        <w:fldChar w:fldCharType="separate"/>
      </w:r>
      <w:r w:rsidRPr="0061021D">
        <w:rPr>
          <w:rFonts w:ascii="Times New Roman" w:eastAsia="Times New Roman" w:hAnsi="Times New Roman" w:cs="Times New Roman"/>
          <w:color w:val="0000FF"/>
          <w:szCs w:val="24"/>
          <w:u w:val="single"/>
          <w:vertAlign w:val="superscript"/>
        </w:rPr>
        <w:t>[6]</w:t>
      </w:r>
      <w:r w:rsidRPr="0061021D">
        <w:rPr>
          <w:rFonts w:ascii="Times New Roman" w:eastAsia="Times New Roman" w:hAnsi="Times New Roman" w:cs="Times New Roman"/>
          <w:szCs w:val="24"/>
          <w:vertAlign w:val="superscript"/>
        </w:rPr>
        <w:fldChar w:fldCharType="end"/>
      </w:r>
      <w:bookmarkEnd w:id="5"/>
      <w:r w:rsidRPr="0061021D">
        <w:rPr>
          <w:rFonts w:ascii="Times New Roman" w:eastAsia="Times New Roman" w:hAnsi="Times New Roman" w:cs="Times New Roman"/>
          <w:szCs w:val="24"/>
        </w:rPr>
        <w:t xml:space="preserve"> the Supreme Court confirmed that under the common law, property owners have a right not only to continue a legally nonconforming use, but also to reasonable flexibility in that use, including evolution, intensification, or expansion. Writing for the majority, Justice Binnie outlined seven principles to delineate limitations on the owner's acquired rights:</w:t>
      </w:r>
    </w:p>
    <w:p w14:paraId="1EB276FD" w14:textId="77777777" w:rsidR="0061021D" w:rsidRPr="0061021D" w:rsidRDefault="0061021D" w:rsidP="0061021D">
      <w:pPr>
        <w:numPr>
          <w:ilvl w:val="0"/>
          <w:numId w:val="1"/>
        </w:numPr>
        <w:spacing w:before="100" w:beforeAutospacing="1" w:after="100" w:afterAutospacing="1" w:line="240" w:lineRule="auto"/>
        <w:rPr>
          <w:rFonts w:ascii="Times New Roman" w:eastAsia="Times New Roman" w:hAnsi="Times New Roman" w:cs="Times New Roman"/>
          <w:szCs w:val="24"/>
        </w:rPr>
      </w:pPr>
      <w:r w:rsidRPr="0061021D">
        <w:rPr>
          <w:rFonts w:ascii="Times New Roman" w:eastAsia="Times New Roman" w:hAnsi="Times New Roman" w:cs="Times New Roman"/>
          <w:szCs w:val="24"/>
        </w:rPr>
        <w:t>The nature of the legally nonconforming use is defined as the activities actually carried out at the site prior to the new by-law restrictions.</w:t>
      </w:r>
    </w:p>
    <w:p w14:paraId="3F8B82CE" w14:textId="77777777" w:rsidR="0061021D" w:rsidRPr="0061021D" w:rsidRDefault="0061021D" w:rsidP="0061021D">
      <w:pPr>
        <w:numPr>
          <w:ilvl w:val="0"/>
          <w:numId w:val="1"/>
        </w:numPr>
        <w:spacing w:before="100" w:beforeAutospacing="1" w:after="100" w:afterAutospacing="1" w:line="240" w:lineRule="auto"/>
        <w:rPr>
          <w:rFonts w:ascii="Times New Roman" w:eastAsia="Times New Roman" w:hAnsi="Times New Roman" w:cs="Times New Roman"/>
          <w:szCs w:val="24"/>
        </w:rPr>
      </w:pPr>
      <w:r w:rsidRPr="0061021D">
        <w:rPr>
          <w:rFonts w:ascii="Times New Roman" w:eastAsia="Times New Roman" w:hAnsi="Times New Roman" w:cs="Times New Roman"/>
          <w:szCs w:val="24"/>
        </w:rPr>
        <w:t>Where the current use is a mere intensification of the pre-existing activity, as opposed to a difference in kind, it will rarely be open to objection.</w:t>
      </w:r>
    </w:p>
    <w:p w14:paraId="6625E9D5" w14:textId="77777777" w:rsidR="0061021D" w:rsidRPr="0061021D" w:rsidRDefault="0061021D" w:rsidP="0061021D">
      <w:pPr>
        <w:numPr>
          <w:ilvl w:val="0"/>
          <w:numId w:val="1"/>
        </w:numPr>
        <w:spacing w:before="100" w:beforeAutospacing="1" w:after="100" w:afterAutospacing="1" w:line="240" w:lineRule="auto"/>
        <w:rPr>
          <w:rFonts w:ascii="Times New Roman" w:eastAsia="Times New Roman" w:hAnsi="Times New Roman" w:cs="Times New Roman"/>
          <w:szCs w:val="24"/>
        </w:rPr>
      </w:pPr>
      <w:r w:rsidRPr="0061021D">
        <w:rPr>
          <w:rFonts w:ascii="Times New Roman" w:eastAsia="Times New Roman" w:hAnsi="Times New Roman" w:cs="Times New Roman"/>
          <w:szCs w:val="24"/>
        </w:rPr>
        <w:t>New activities that expand beyond the pre-existing uses may not be protected under the non-conforming use.</w:t>
      </w:r>
    </w:p>
    <w:p w14:paraId="578877C7" w14:textId="77777777" w:rsidR="0061021D" w:rsidRPr="0061021D" w:rsidRDefault="0061021D" w:rsidP="0061021D">
      <w:pPr>
        <w:numPr>
          <w:ilvl w:val="0"/>
          <w:numId w:val="1"/>
        </w:numPr>
        <w:spacing w:before="100" w:beforeAutospacing="1" w:after="100" w:afterAutospacing="1" w:line="240" w:lineRule="auto"/>
        <w:rPr>
          <w:rFonts w:ascii="Times New Roman" w:eastAsia="Times New Roman" w:hAnsi="Times New Roman" w:cs="Times New Roman"/>
          <w:szCs w:val="24"/>
        </w:rPr>
      </w:pPr>
      <w:r w:rsidRPr="0061021D">
        <w:rPr>
          <w:rFonts w:ascii="Times New Roman" w:eastAsia="Times New Roman" w:hAnsi="Times New Roman" w:cs="Times New Roman"/>
          <w:szCs w:val="24"/>
        </w:rPr>
        <w:t xml:space="preserve">When activities that are ancillary or closely related to the pre-existing use are added, the Court must balance the landowner's interest against the community interest, taking into account: a) the degree to which the pre-existing use clashes with surrounding uses; b) the degree of remoteness of the new activity to the pre-existing use; and c) the aggravated </w:t>
      </w:r>
      <w:proofErr w:type="spellStart"/>
      <w:r w:rsidRPr="0061021D">
        <w:rPr>
          <w:rFonts w:ascii="Times New Roman" w:eastAsia="Times New Roman" w:hAnsi="Times New Roman" w:cs="Times New Roman"/>
          <w:szCs w:val="24"/>
        </w:rPr>
        <w:t>neighbourhood</w:t>
      </w:r>
      <w:proofErr w:type="spellEnd"/>
      <w:r w:rsidRPr="0061021D">
        <w:rPr>
          <w:rFonts w:ascii="Times New Roman" w:eastAsia="Times New Roman" w:hAnsi="Times New Roman" w:cs="Times New Roman"/>
          <w:szCs w:val="24"/>
        </w:rPr>
        <w:t xml:space="preserve"> effects of the new activity.</w:t>
      </w:r>
    </w:p>
    <w:p w14:paraId="2968009C" w14:textId="77777777" w:rsidR="0061021D" w:rsidRPr="0061021D" w:rsidRDefault="0061021D" w:rsidP="0061021D">
      <w:pPr>
        <w:numPr>
          <w:ilvl w:val="0"/>
          <w:numId w:val="1"/>
        </w:numPr>
        <w:spacing w:before="100" w:beforeAutospacing="1" w:after="100" w:afterAutospacing="1" w:line="240" w:lineRule="auto"/>
        <w:rPr>
          <w:rFonts w:ascii="Times New Roman" w:eastAsia="Times New Roman" w:hAnsi="Times New Roman" w:cs="Times New Roman"/>
          <w:szCs w:val="24"/>
        </w:rPr>
      </w:pPr>
      <w:proofErr w:type="spellStart"/>
      <w:r w:rsidRPr="0061021D">
        <w:rPr>
          <w:rFonts w:ascii="Times New Roman" w:eastAsia="Times New Roman" w:hAnsi="Times New Roman" w:cs="Times New Roman"/>
          <w:szCs w:val="24"/>
        </w:rPr>
        <w:t>Neighbourhood</w:t>
      </w:r>
      <w:proofErr w:type="spellEnd"/>
      <w:r w:rsidRPr="0061021D">
        <w:rPr>
          <w:rFonts w:ascii="Times New Roman" w:eastAsia="Times New Roman" w:hAnsi="Times New Roman" w:cs="Times New Roman"/>
          <w:szCs w:val="24"/>
        </w:rPr>
        <w:t xml:space="preserve"> effects must be established by evidence.</w:t>
      </w:r>
    </w:p>
    <w:p w14:paraId="15EC290E" w14:textId="77777777" w:rsidR="0061021D" w:rsidRPr="0061021D" w:rsidRDefault="0061021D" w:rsidP="0061021D">
      <w:pPr>
        <w:numPr>
          <w:ilvl w:val="0"/>
          <w:numId w:val="1"/>
        </w:numPr>
        <w:spacing w:before="100" w:beforeAutospacing="1" w:after="100" w:afterAutospacing="1" w:line="240" w:lineRule="auto"/>
        <w:rPr>
          <w:rFonts w:ascii="Times New Roman" w:eastAsia="Times New Roman" w:hAnsi="Times New Roman" w:cs="Times New Roman"/>
          <w:szCs w:val="24"/>
        </w:rPr>
      </w:pPr>
      <w:r w:rsidRPr="0061021D">
        <w:rPr>
          <w:rFonts w:ascii="Times New Roman" w:eastAsia="Times New Roman" w:hAnsi="Times New Roman" w:cs="Times New Roman"/>
          <w:szCs w:val="24"/>
        </w:rPr>
        <w:t>The characterization of the acquired right must be appropriately tailored to as to allow for reasonable evolution of prior activities.</w:t>
      </w:r>
    </w:p>
    <w:p w14:paraId="1FEFC366" w14:textId="77777777" w:rsidR="0061021D" w:rsidRPr="0061021D" w:rsidRDefault="0061021D" w:rsidP="0061021D">
      <w:pPr>
        <w:numPr>
          <w:ilvl w:val="0"/>
          <w:numId w:val="1"/>
        </w:numPr>
        <w:spacing w:before="100" w:beforeAutospacing="1" w:after="100" w:afterAutospacing="1" w:line="240" w:lineRule="auto"/>
        <w:rPr>
          <w:rFonts w:ascii="Times New Roman" w:eastAsia="Times New Roman" w:hAnsi="Times New Roman" w:cs="Times New Roman"/>
          <w:szCs w:val="24"/>
        </w:rPr>
      </w:pPr>
      <w:r w:rsidRPr="0061021D">
        <w:rPr>
          <w:rFonts w:ascii="Times New Roman" w:eastAsia="Times New Roman" w:hAnsi="Times New Roman" w:cs="Times New Roman"/>
          <w:szCs w:val="24"/>
        </w:rPr>
        <w:t>The definition of the acquired right will always have a subjective element, but should be grounded in the objective analysis outlined above.</w:t>
      </w:r>
      <w:bookmarkStart w:id="6" w:name="_ftnref7"/>
      <w:r w:rsidRPr="0061021D">
        <w:rPr>
          <w:rFonts w:ascii="Times New Roman" w:eastAsia="Times New Roman" w:hAnsi="Times New Roman" w:cs="Times New Roman"/>
          <w:szCs w:val="24"/>
          <w:vertAlign w:val="superscript"/>
        </w:rPr>
        <w:fldChar w:fldCharType="begin"/>
      </w:r>
      <w:r w:rsidRPr="0061021D">
        <w:rPr>
          <w:rFonts w:ascii="Times New Roman" w:eastAsia="Times New Roman" w:hAnsi="Times New Roman" w:cs="Times New Roman"/>
          <w:szCs w:val="24"/>
          <w:vertAlign w:val="superscript"/>
        </w:rPr>
        <w:instrText xml:space="preserve"> HYPERLINK "https://gowlingwlg.com/en/insights-resources/articles/2021/legal-nonconforming-rights-trilogy-in-ontario/" \l "_ftn7" \o "" </w:instrText>
      </w:r>
      <w:r w:rsidRPr="0061021D">
        <w:rPr>
          <w:rFonts w:ascii="Times New Roman" w:eastAsia="Times New Roman" w:hAnsi="Times New Roman" w:cs="Times New Roman"/>
          <w:szCs w:val="24"/>
          <w:vertAlign w:val="superscript"/>
        </w:rPr>
        <w:fldChar w:fldCharType="separate"/>
      </w:r>
      <w:r w:rsidRPr="0061021D">
        <w:rPr>
          <w:rFonts w:ascii="Times New Roman" w:eastAsia="Times New Roman" w:hAnsi="Times New Roman" w:cs="Times New Roman"/>
          <w:color w:val="0000FF"/>
          <w:szCs w:val="24"/>
          <w:u w:val="single"/>
          <w:vertAlign w:val="superscript"/>
        </w:rPr>
        <w:t>[7]</w:t>
      </w:r>
      <w:r w:rsidRPr="0061021D">
        <w:rPr>
          <w:rFonts w:ascii="Times New Roman" w:eastAsia="Times New Roman" w:hAnsi="Times New Roman" w:cs="Times New Roman"/>
          <w:szCs w:val="24"/>
          <w:vertAlign w:val="superscript"/>
        </w:rPr>
        <w:fldChar w:fldCharType="end"/>
      </w:r>
      <w:bookmarkEnd w:id="6"/>
    </w:p>
    <w:p w14:paraId="4C27D434" w14:textId="77777777" w:rsidR="0061021D" w:rsidRPr="0061021D" w:rsidRDefault="0061021D" w:rsidP="0061021D">
      <w:pPr>
        <w:spacing w:before="100" w:beforeAutospacing="1" w:after="100" w:afterAutospacing="1" w:line="240" w:lineRule="auto"/>
        <w:rPr>
          <w:rFonts w:ascii="Times New Roman" w:eastAsia="Times New Roman" w:hAnsi="Times New Roman" w:cs="Times New Roman"/>
          <w:szCs w:val="24"/>
        </w:rPr>
      </w:pPr>
      <w:r w:rsidRPr="0061021D">
        <w:rPr>
          <w:rFonts w:ascii="Times New Roman" w:eastAsia="Times New Roman" w:hAnsi="Times New Roman" w:cs="Times New Roman"/>
          <w:szCs w:val="24"/>
        </w:rPr>
        <w:t xml:space="preserve">In short, this decision established that legally nonconforming rights can expand, evolve, or intensify, provided that the change does not result in undue adverse impacts to the surrounding </w:t>
      </w:r>
      <w:proofErr w:type="spellStart"/>
      <w:r w:rsidRPr="0061021D">
        <w:rPr>
          <w:rFonts w:ascii="Times New Roman" w:eastAsia="Times New Roman" w:hAnsi="Times New Roman" w:cs="Times New Roman"/>
          <w:szCs w:val="24"/>
        </w:rPr>
        <w:lastRenderedPageBreak/>
        <w:t>neighbourhood</w:t>
      </w:r>
      <w:proofErr w:type="spellEnd"/>
      <w:r w:rsidRPr="0061021D">
        <w:rPr>
          <w:rFonts w:ascii="Times New Roman" w:eastAsia="Times New Roman" w:hAnsi="Times New Roman" w:cs="Times New Roman"/>
          <w:szCs w:val="24"/>
        </w:rPr>
        <w:t>. Yet, despite this clear direction, actually compelling municipalities to recognize this right to flexibility and evolution is often not so simple.</w:t>
      </w:r>
    </w:p>
    <w:p w14:paraId="2F04B8EA" w14:textId="77777777" w:rsidR="0061021D" w:rsidRPr="0061021D" w:rsidRDefault="0061021D" w:rsidP="0061021D">
      <w:pPr>
        <w:spacing w:before="100" w:beforeAutospacing="1" w:after="100" w:afterAutospacing="1" w:line="240" w:lineRule="auto"/>
        <w:rPr>
          <w:rFonts w:ascii="Times New Roman" w:eastAsia="Times New Roman" w:hAnsi="Times New Roman" w:cs="Times New Roman"/>
          <w:szCs w:val="24"/>
        </w:rPr>
      </w:pPr>
      <w:r w:rsidRPr="0061021D">
        <w:rPr>
          <w:rFonts w:ascii="Times New Roman" w:eastAsia="Times New Roman" w:hAnsi="Times New Roman" w:cs="Times New Roman"/>
          <w:szCs w:val="24"/>
        </w:rPr>
        <w:t xml:space="preserve">Each of the Trilogy cases has applied </w:t>
      </w:r>
      <w:r w:rsidRPr="0061021D">
        <w:rPr>
          <w:rFonts w:ascii="Times New Roman" w:eastAsia="Times New Roman" w:hAnsi="Times New Roman" w:cs="Times New Roman"/>
          <w:i/>
          <w:iCs/>
          <w:szCs w:val="24"/>
        </w:rPr>
        <w:t xml:space="preserve">Saint-Romuald </w:t>
      </w:r>
      <w:r w:rsidRPr="0061021D">
        <w:rPr>
          <w:rFonts w:ascii="Times New Roman" w:eastAsia="Times New Roman" w:hAnsi="Times New Roman" w:cs="Times New Roman"/>
          <w:szCs w:val="24"/>
        </w:rPr>
        <w:t>in the context of Ontario land use planning law. In so doing, these cases have clarified and expanded the protections afforded to nonconforming uses under the common law, and have invalidated planning instruments that sought to curtail property owners' rights to reasonable flexibility and evolution of their nonconforming uses.</w:t>
      </w:r>
    </w:p>
    <w:p w14:paraId="6336C3AB" w14:textId="77777777" w:rsidR="0061021D" w:rsidRPr="0061021D" w:rsidRDefault="0061021D" w:rsidP="0061021D">
      <w:pPr>
        <w:spacing w:before="100" w:beforeAutospacing="1" w:after="100" w:afterAutospacing="1" w:line="240" w:lineRule="auto"/>
        <w:outlineLvl w:val="1"/>
        <w:rPr>
          <w:rFonts w:ascii="Times New Roman" w:eastAsia="Times New Roman" w:hAnsi="Times New Roman" w:cs="Times New Roman"/>
          <w:b/>
          <w:bCs/>
          <w:sz w:val="36"/>
          <w:szCs w:val="36"/>
        </w:rPr>
      </w:pPr>
      <w:r w:rsidRPr="0061021D">
        <w:rPr>
          <w:rFonts w:ascii="Times New Roman" w:eastAsia="Times New Roman" w:hAnsi="Times New Roman" w:cs="Times New Roman"/>
          <w:b/>
          <w:bCs/>
          <w:sz w:val="36"/>
          <w:szCs w:val="36"/>
        </w:rPr>
        <w:t xml:space="preserve">Case #1: </w:t>
      </w:r>
      <w:r w:rsidRPr="0061021D">
        <w:rPr>
          <w:rFonts w:ascii="Times New Roman" w:eastAsia="Times New Roman" w:hAnsi="Times New Roman" w:cs="Times New Roman"/>
          <w:b/>
          <w:bCs/>
          <w:i/>
          <w:iCs/>
          <w:sz w:val="36"/>
          <w:szCs w:val="36"/>
        </w:rPr>
        <w:t xml:space="preserve">Re TDL Group </w:t>
      </w:r>
    </w:p>
    <w:p w14:paraId="46FD6F15" w14:textId="77777777" w:rsidR="0061021D" w:rsidRPr="0061021D" w:rsidRDefault="0061021D" w:rsidP="0061021D">
      <w:pPr>
        <w:spacing w:before="100" w:beforeAutospacing="1" w:after="100" w:afterAutospacing="1" w:line="240" w:lineRule="auto"/>
        <w:rPr>
          <w:rFonts w:ascii="Times New Roman" w:eastAsia="Times New Roman" w:hAnsi="Times New Roman" w:cs="Times New Roman"/>
          <w:szCs w:val="24"/>
        </w:rPr>
      </w:pPr>
      <w:r w:rsidRPr="0061021D">
        <w:rPr>
          <w:rFonts w:ascii="Times New Roman" w:eastAsia="Times New Roman" w:hAnsi="Times New Roman" w:cs="Times New Roman"/>
          <w:szCs w:val="24"/>
        </w:rPr>
        <w:t xml:space="preserve">In 2008, the City of Ottawa enacted a new City-wide Comprehensive Zoning By-law (the "CZBL"). In an effort to phase out legally nonconforming uses across the City, s. 3 of the CZBL purported to extinguish nonconforming rights where a legally nonconforming or noncomplying </w:t>
      </w:r>
      <w:bookmarkStart w:id="7" w:name="_ftnref8"/>
      <w:r w:rsidRPr="0061021D">
        <w:rPr>
          <w:rFonts w:ascii="Times New Roman" w:eastAsia="Times New Roman" w:hAnsi="Times New Roman" w:cs="Times New Roman"/>
          <w:szCs w:val="24"/>
          <w:vertAlign w:val="superscript"/>
        </w:rPr>
        <w:fldChar w:fldCharType="begin"/>
      </w:r>
      <w:r w:rsidRPr="0061021D">
        <w:rPr>
          <w:rFonts w:ascii="Times New Roman" w:eastAsia="Times New Roman" w:hAnsi="Times New Roman" w:cs="Times New Roman"/>
          <w:szCs w:val="24"/>
          <w:vertAlign w:val="superscript"/>
        </w:rPr>
        <w:instrText xml:space="preserve"> HYPERLINK "https://gowlingwlg.com/en/insights-resources/articles/2021/legal-nonconforming-rights-trilogy-in-ontario/" \l "_ftn8" \o "" </w:instrText>
      </w:r>
      <w:r w:rsidRPr="0061021D">
        <w:rPr>
          <w:rFonts w:ascii="Times New Roman" w:eastAsia="Times New Roman" w:hAnsi="Times New Roman" w:cs="Times New Roman"/>
          <w:szCs w:val="24"/>
          <w:vertAlign w:val="superscript"/>
        </w:rPr>
        <w:fldChar w:fldCharType="separate"/>
      </w:r>
      <w:r w:rsidRPr="0061021D">
        <w:rPr>
          <w:rFonts w:ascii="Times New Roman" w:eastAsia="Times New Roman" w:hAnsi="Times New Roman" w:cs="Times New Roman"/>
          <w:color w:val="0000FF"/>
          <w:szCs w:val="24"/>
          <w:u w:val="single"/>
          <w:vertAlign w:val="superscript"/>
        </w:rPr>
        <w:t>[8]</w:t>
      </w:r>
      <w:r w:rsidRPr="0061021D">
        <w:rPr>
          <w:rFonts w:ascii="Times New Roman" w:eastAsia="Times New Roman" w:hAnsi="Times New Roman" w:cs="Times New Roman"/>
          <w:szCs w:val="24"/>
          <w:vertAlign w:val="superscript"/>
        </w:rPr>
        <w:fldChar w:fldCharType="end"/>
      </w:r>
      <w:bookmarkEnd w:id="7"/>
      <w:r w:rsidRPr="0061021D">
        <w:rPr>
          <w:rFonts w:ascii="Times New Roman" w:eastAsia="Times New Roman" w:hAnsi="Times New Roman" w:cs="Times New Roman"/>
          <w:szCs w:val="24"/>
        </w:rPr>
        <w:t xml:space="preserve"> building was damaged, demolished or removed voluntarily, or where an involuntarily damaged building was not repaired or re-occupied within 2 years. The appellant challenged this provision on the basis that it was contrary to s. 34(9) of the </w:t>
      </w:r>
      <w:r w:rsidRPr="0061021D">
        <w:rPr>
          <w:rFonts w:ascii="Times New Roman" w:eastAsia="Times New Roman" w:hAnsi="Times New Roman" w:cs="Times New Roman"/>
          <w:i/>
          <w:iCs/>
          <w:szCs w:val="24"/>
        </w:rPr>
        <w:t>Planning Act</w:t>
      </w:r>
      <w:r w:rsidRPr="0061021D">
        <w:rPr>
          <w:rFonts w:ascii="Times New Roman" w:eastAsia="Times New Roman" w:hAnsi="Times New Roman" w:cs="Times New Roman"/>
          <w:szCs w:val="24"/>
        </w:rPr>
        <w:t xml:space="preserve"> and </w:t>
      </w:r>
      <w:r w:rsidRPr="0061021D">
        <w:rPr>
          <w:rFonts w:ascii="Times New Roman" w:eastAsia="Times New Roman" w:hAnsi="Times New Roman" w:cs="Times New Roman"/>
          <w:i/>
          <w:iCs/>
          <w:szCs w:val="24"/>
        </w:rPr>
        <w:t>ultra vires</w:t>
      </w:r>
      <w:r w:rsidRPr="0061021D">
        <w:rPr>
          <w:rFonts w:ascii="Times New Roman" w:eastAsia="Times New Roman" w:hAnsi="Times New Roman" w:cs="Times New Roman"/>
          <w:szCs w:val="24"/>
        </w:rPr>
        <w:t>.</w:t>
      </w:r>
    </w:p>
    <w:p w14:paraId="039B4B0E" w14:textId="77777777" w:rsidR="0061021D" w:rsidRPr="0061021D" w:rsidRDefault="0061021D" w:rsidP="0061021D">
      <w:pPr>
        <w:spacing w:before="100" w:beforeAutospacing="1" w:after="100" w:afterAutospacing="1" w:line="240" w:lineRule="auto"/>
        <w:rPr>
          <w:rFonts w:ascii="Times New Roman" w:eastAsia="Times New Roman" w:hAnsi="Times New Roman" w:cs="Times New Roman"/>
          <w:szCs w:val="24"/>
        </w:rPr>
      </w:pPr>
      <w:r w:rsidRPr="0061021D">
        <w:rPr>
          <w:rFonts w:ascii="Times New Roman" w:eastAsia="Times New Roman" w:hAnsi="Times New Roman" w:cs="Times New Roman"/>
          <w:szCs w:val="24"/>
        </w:rPr>
        <w:t xml:space="preserve">The OMB agreed with the appellant, ruling that s. 34(9) of the </w:t>
      </w:r>
      <w:r w:rsidRPr="0061021D">
        <w:rPr>
          <w:rFonts w:ascii="Times New Roman" w:eastAsia="Times New Roman" w:hAnsi="Times New Roman" w:cs="Times New Roman"/>
          <w:i/>
          <w:iCs/>
          <w:szCs w:val="24"/>
        </w:rPr>
        <w:t xml:space="preserve">Planning Act </w:t>
      </w:r>
      <w:r w:rsidRPr="0061021D">
        <w:rPr>
          <w:rFonts w:ascii="Times New Roman" w:eastAsia="Times New Roman" w:hAnsi="Times New Roman" w:cs="Times New Roman"/>
          <w:szCs w:val="24"/>
        </w:rPr>
        <w:t>clearly prohibits a municipality from passing a by-law to prevent a legally nonconforming use. The Board held that:</w:t>
      </w:r>
    </w:p>
    <w:p w14:paraId="779B0411" w14:textId="77777777" w:rsidR="0061021D" w:rsidRPr="0061021D" w:rsidRDefault="0061021D" w:rsidP="0061021D">
      <w:pPr>
        <w:spacing w:before="100" w:beforeAutospacing="1" w:after="100" w:afterAutospacing="1" w:line="240" w:lineRule="auto"/>
        <w:ind w:left="720"/>
        <w:rPr>
          <w:rFonts w:ascii="Times New Roman" w:eastAsia="Times New Roman" w:hAnsi="Times New Roman" w:cs="Times New Roman"/>
          <w:szCs w:val="24"/>
        </w:rPr>
      </w:pPr>
      <w:r w:rsidRPr="0061021D">
        <w:rPr>
          <w:rFonts w:ascii="Times New Roman" w:eastAsia="Times New Roman" w:hAnsi="Times New Roman" w:cs="Times New Roman"/>
          <w:szCs w:val="24"/>
        </w:rPr>
        <w:t xml:space="preserve">The cases cited by the Appellant, especially the decisions of the Supreme Court of Canada, </w:t>
      </w:r>
      <w:r w:rsidRPr="0061021D">
        <w:rPr>
          <w:rFonts w:ascii="Times New Roman" w:eastAsia="Times New Roman" w:hAnsi="Times New Roman" w:cs="Times New Roman"/>
          <w:i/>
          <w:iCs/>
          <w:szCs w:val="24"/>
        </w:rPr>
        <w:t>Toronto (City) v. Central Jewish Institute</w:t>
      </w:r>
      <w:r w:rsidRPr="0061021D">
        <w:rPr>
          <w:rFonts w:ascii="Times New Roman" w:eastAsia="Times New Roman" w:hAnsi="Times New Roman" w:cs="Times New Roman"/>
          <w:szCs w:val="24"/>
        </w:rPr>
        <w:t xml:space="preserve"> and </w:t>
      </w:r>
      <w:r w:rsidRPr="0061021D">
        <w:rPr>
          <w:rFonts w:ascii="Times New Roman" w:eastAsia="Times New Roman" w:hAnsi="Times New Roman" w:cs="Times New Roman"/>
          <w:i/>
          <w:iCs/>
          <w:szCs w:val="24"/>
        </w:rPr>
        <w:t>Saint-Romuald (Ville) c. Olivier</w:t>
      </w:r>
      <w:r w:rsidRPr="0061021D">
        <w:rPr>
          <w:rFonts w:ascii="Times New Roman" w:eastAsia="Times New Roman" w:hAnsi="Times New Roman" w:cs="Times New Roman"/>
          <w:szCs w:val="24"/>
        </w:rPr>
        <w:t xml:space="preserve"> affirm the right of a landowner to continue with a legal non-conforming use. In fact, the Supreme Court of Canada decisions stand for the proposition that such a use may be expanded within the confines of the building, may be "intensified" as part of the pre-existing activity, and </w:t>
      </w:r>
      <w:r w:rsidRPr="0061021D">
        <w:rPr>
          <w:rFonts w:ascii="Times New Roman" w:eastAsia="Times New Roman" w:hAnsi="Times New Roman" w:cs="Times New Roman"/>
          <w:b/>
          <w:bCs/>
          <w:szCs w:val="24"/>
        </w:rPr>
        <w:t>finally, of particular relevance to the case at hand, may see "renewal and change"</w:t>
      </w:r>
      <w:r w:rsidRPr="0061021D">
        <w:rPr>
          <w:rFonts w:ascii="Times New Roman" w:eastAsia="Times New Roman" w:hAnsi="Times New Roman" w:cs="Times New Roman"/>
          <w:szCs w:val="24"/>
        </w:rPr>
        <w:t xml:space="preserve"> (</w:t>
      </w:r>
      <w:hyperlink r:id="rId6" w:tgtFrame="_blank" w:history="1">
        <w:r w:rsidRPr="0061021D">
          <w:rPr>
            <w:rFonts w:ascii="Times New Roman" w:eastAsia="Times New Roman" w:hAnsi="Times New Roman" w:cs="Times New Roman"/>
            <w:i/>
            <w:iCs/>
            <w:color w:val="0000FF"/>
            <w:szCs w:val="24"/>
            <w:u w:val="single"/>
          </w:rPr>
          <w:t>Saint-Romuald (Ville) c. Olivier</w:t>
        </w:r>
      </w:hyperlink>
      <w:r w:rsidRPr="0061021D">
        <w:rPr>
          <w:rFonts w:ascii="Times New Roman" w:eastAsia="Times New Roman" w:hAnsi="Times New Roman" w:cs="Times New Roman"/>
          <w:szCs w:val="24"/>
        </w:rPr>
        <w:t>)</w:t>
      </w:r>
      <w:bookmarkStart w:id="8" w:name="_ftnref9"/>
      <w:r w:rsidRPr="0061021D">
        <w:rPr>
          <w:rFonts w:ascii="Times New Roman" w:eastAsia="Times New Roman" w:hAnsi="Times New Roman" w:cs="Times New Roman"/>
          <w:szCs w:val="24"/>
          <w:vertAlign w:val="superscript"/>
        </w:rPr>
        <w:fldChar w:fldCharType="begin"/>
      </w:r>
      <w:r w:rsidRPr="0061021D">
        <w:rPr>
          <w:rFonts w:ascii="Times New Roman" w:eastAsia="Times New Roman" w:hAnsi="Times New Roman" w:cs="Times New Roman"/>
          <w:szCs w:val="24"/>
          <w:vertAlign w:val="superscript"/>
        </w:rPr>
        <w:instrText xml:space="preserve"> HYPERLINK "https://gowlingwlg.com/en/insights-resources/articles/2021/legal-nonconforming-rights-trilogy-in-ontario/" \l "_ftn9" \o "" </w:instrText>
      </w:r>
      <w:r w:rsidRPr="0061021D">
        <w:rPr>
          <w:rFonts w:ascii="Times New Roman" w:eastAsia="Times New Roman" w:hAnsi="Times New Roman" w:cs="Times New Roman"/>
          <w:szCs w:val="24"/>
          <w:vertAlign w:val="superscript"/>
        </w:rPr>
        <w:fldChar w:fldCharType="separate"/>
      </w:r>
      <w:r w:rsidRPr="0061021D">
        <w:rPr>
          <w:rFonts w:ascii="Times New Roman" w:eastAsia="Times New Roman" w:hAnsi="Times New Roman" w:cs="Times New Roman"/>
          <w:color w:val="0000FF"/>
          <w:szCs w:val="24"/>
          <w:u w:val="single"/>
          <w:vertAlign w:val="superscript"/>
        </w:rPr>
        <w:t>[9]</w:t>
      </w:r>
      <w:r w:rsidRPr="0061021D">
        <w:rPr>
          <w:rFonts w:ascii="Times New Roman" w:eastAsia="Times New Roman" w:hAnsi="Times New Roman" w:cs="Times New Roman"/>
          <w:szCs w:val="24"/>
          <w:vertAlign w:val="superscript"/>
        </w:rPr>
        <w:fldChar w:fldCharType="end"/>
      </w:r>
      <w:bookmarkEnd w:id="8"/>
    </w:p>
    <w:p w14:paraId="10F7F1EC" w14:textId="77777777" w:rsidR="0061021D" w:rsidRPr="0061021D" w:rsidRDefault="0061021D" w:rsidP="0061021D">
      <w:pPr>
        <w:spacing w:before="100" w:beforeAutospacing="1" w:after="100" w:afterAutospacing="1" w:line="240" w:lineRule="auto"/>
        <w:rPr>
          <w:rFonts w:ascii="Times New Roman" w:eastAsia="Times New Roman" w:hAnsi="Times New Roman" w:cs="Times New Roman"/>
          <w:szCs w:val="24"/>
        </w:rPr>
      </w:pPr>
      <w:r w:rsidRPr="0061021D">
        <w:rPr>
          <w:rFonts w:ascii="Times New Roman" w:eastAsia="Times New Roman" w:hAnsi="Times New Roman" w:cs="Times New Roman"/>
          <w:szCs w:val="24"/>
        </w:rPr>
        <w:t>The Board emphasized that, when determining whether non-conforming and non-complying rights survive, the intention of the landowner is paramount. As a result, voluntary repair or replacement of elements of the non-conforming or non-complying building does not automatically extinguish non-conforming rights:</w:t>
      </w:r>
    </w:p>
    <w:p w14:paraId="13089406" w14:textId="77777777" w:rsidR="0061021D" w:rsidRPr="0061021D" w:rsidRDefault="0061021D" w:rsidP="0061021D">
      <w:pPr>
        <w:spacing w:before="100" w:beforeAutospacing="1" w:after="100" w:afterAutospacing="1" w:line="240" w:lineRule="auto"/>
        <w:ind w:left="720"/>
        <w:rPr>
          <w:rFonts w:ascii="Times New Roman" w:eastAsia="Times New Roman" w:hAnsi="Times New Roman" w:cs="Times New Roman"/>
          <w:szCs w:val="24"/>
        </w:rPr>
      </w:pPr>
      <w:r w:rsidRPr="0061021D">
        <w:rPr>
          <w:rFonts w:ascii="Times New Roman" w:eastAsia="Times New Roman" w:hAnsi="Times New Roman" w:cs="Times New Roman"/>
          <w:szCs w:val="24"/>
        </w:rPr>
        <w:t>With the respect to "continuity of use", the Board finds that the intention of the landowner is significant. The Appellant would not lose its right to its legal non-conforming use during a closure for a voluntary repair or even replacement of the building...</w:t>
      </w:r>
    </w:p>
    <w:p w14:paraId="4B2360E1" w14:textId="77777777" w:rsidR="0061021D" w:rsidRPr="0061021D" w:rsidRDefault="0061021D" w:rsidP="0061021D">
      <w:pPr>
        <w:spacing w:before="100" w:beforeAutospacing="1" w:after="100" w:afterAutospacing="1" w:line="240" w:lineRule="auto"/>
        <w:ind w:left="720"/>
        <w:rPr>
          <w:rFonts w:ascii="Times New Roman" w:eastAsia="Times New Roman" w:hAnsi="Times New Roman" w:cs="Times New Roman"/>
          <w:szCs w:val="24"/>
        </w:rPr>
      </w:pPr>
      <w:r w:rsidRPr="0061021D">
        <w:rPr>
          <w:rFonts w:ascii="Times New Roman" w:eastAsia="Times New Roman" w:hAnsi="Times New Roman" w:cs="Times New Roman"/>
          <w:szCs w:val="24"/>
        </w:rPr>
        <w:t xml:space="preserve">…there is nothing in section 34(9)(a) of the </w:t>
      </w:r>
      <w:r w:rsidRPr="0061021D">
        <w:rPr>
          <w:rFonts w:ascii="Times New Roman" w:eastAsia="Times New Roman" w:hAnsi="Times New Roman" w:cs="Times New Roman"/>
          <w:i/>
          <w:iCs/>
          <w:szCs w:val="24"/>
        </w:rPr>
        <w:t>Act</w:t>
      </w:r>
      <w:r w:rsidRPr="0061021D">
        <w:rPr>
          <w:rFonts w:ascii="Times New Roman" w:eastAsia="Times New Roman" w:hAnsi="Times New Roman" w:cs="Times New Roman"/>
          <w:szCs w:val="24"/>
        </w:rPr>
        <w:t xml:space="preserve"> that provides that a right to a legal non-conforming use is lost if renovations or repairs are voluntary or within the control of the owner.</w:t>
      </w:r>
      <w:bookmarkStart w:id="9" w:name="_ftnref10"/>
      <w:r w:rsidRPr="0061021D">
        <w:rPr>
          <w:rFonts w:ascii="Times New Roman" w:eastAsia="Times New Roman" w:hAnsi="Times New Roman" w:cs="Times New Roman"/>
          <w:szCs w:val="24"/>
          <w:vertAlign w:val="superscript"/>
        </w:rPr>
        <w:fldChar w:fldCharType="begin"/>
      </w:r>
      <w:r w:rsidRPr="0061021D">
        <w:rPr>
          <w:rFonts w:ascii="Times New Roman" w:eastAsia="Times New Roman" w:hAnsi="Times New Roman" w:cs="Times New Roman"/>
          <w:szCs w:val="24"/>
          <w:vertAlign w:val="superscript"/>
        </w:rPr>
        <w:instrText xml:space="preserve"> HYPERLINK "https://gowlingwlg.com/en/insights-resources/articles/2021/legal-nonconforming-rights-trilogy-in-ontario/" \l "_ftn10" \o "" </w:instrText>
      </w:r>
      <w:r w:rsidRPr="0061021D">
        <w:rPr>
          <w:rFonts w:ascii="Times New Roman" w:eastAsia="Times New Roman" w:hAnsi="Times New Roman" w:cs="Times New Roman"/>
          <w:szCs w:val="24"/>
          <w:vertAlign w:val="superscript"/>
        </w:rPr>
        <w:fldChar w:fldCharType="separate"/>
      </w:r>
      <w:r w:rsidRPr="0061021D">
        <w:rPr>
          <w:rFonts w:ascii="Times New Roman" w:eastAsia="Times New Roman" w:hAnsi="Times New Roman" w:cs="Times New Roman"/>
          <w:color w:val="0000FF"/>
          <w:szCs w:val="24"/>
          <w:u w:val="single"/>
          <w:vertAlign w:val="superscript"/>
        </w:rPr>
        <w:t>[10]</w:t>
      </w:r>
      <w:r w:rsidRPr="0061021D">
        <w:rPr>
          <w:rFonts w:ascii="Times New Roman" w:eastAsia="Times New Roman" w:hAnsi="Times New Roman" w:cs="Times New Roman"/>
          <w:szCs w:val="24"/>
          <w:vertAlign w:val="superscript"/>
        </w:rPr>
        <w:fldChar w:fldCharType="end"/>
      </w:r>
      <w:bookmarkEnd w:id="9"/>
    </w:p>
    <w:p w14:paraId="27486225" w14:textId="77777777" w:rsidR="0061021D" w:rsidRPr="0061021D" w:rsidRDefault="0061021D" w:rsidP="0061021D">
      <w:pPr>
        <w:spacing w:before="100" w:beforeAutospacing="1" w:after="100" w:afterAutospacing="1" w:line="240" w:lineRule="auto"/>
        <w:rPr>
          <w:rFonts w:ascii="Times New Roman" w:eastAsia="Times New Roman" w:hAnsi="Times New Roman" w:cs="Times New Roman"/>
          <w:szCs w:val="24"/>
        </w:rPr>
      </w:pPr>
      <w:r w:rsidRPr="0061021D">
        <w:rPr>
          <w:rFonts w:ascii="Times New Roman" w:eastAsia="Times New Roman" w:hAnsi="Times New Roman" w:cs="Times New Roman"/>
          <w:szCs w:val="24"/>
        </w:rPr>
        <w:t xml:space="preserve">In short, the Board found that </w:t>
      </w:r>
      <w:r w:rsidRPr="0061021D">
        <w:rPr>
          <w:rFonts w:ascii="Times New Roman" w:eastAsia="Times New Roman" w:hAnsi="Times New Roman" w:cs="Times New Roman"/>
          <w:b/>
          <w:bCs/>
          <w:szCs w:val="24"/>
        </w:rPr>
        <w:t>property owners have an absolute right to voluntarily demolish all or part of a legally nonconforming building or structure within the same building envelope</w:t>
      </w:r>
      <w:r w:rsidRPr="0061021D">
        <w:rPr>
          <w:rFonts w:ascii="Times New Roman" w:eastAsia="Times New Roman" w:hAnsi="Times New Roman" w:cs="Times New Roman"/>
          <w:szCs w:val="24"/>
        </w:rPr>
        <w:t xml:space="preserve">, without losing that any acquired nonconforming rights, provided that they </w:t>
      </w:r>
      <w:r w:rsidRPr="0061021D">
        <w:rPr>
          <w:rFonts w:ascii="Times New Roman" w:eastAsia="Times New Roman" w:hAnsi="Times New Roman" w:cs="Times New Roman"/>
          <w:szCs w:val="24"/>
        </w:rPr>
        <w:lastRenderedPageBreak/>
        <w:t xml:space="preserve">demonstrate an intention to continue the use. The OMB ruled that the offending provisions of the CZBL were </w:t>
      </w:r>
      <w:r w:rsidRPr="0061021D">
        <w:rPr>
          <w:rFonts w:ascii="Times New Roman" w:eastAsia="Times New Roman" w:hAnsi="Times New Roman" w:cs="Times New Roman"/>
          <w:i/>
          <w:iCs/>
          <w:szCs w:val="24"/>
        </w:rPr>
        <w:t xml:space="preserve">ultra vires </w:t>
      </w:r>
      <w:r w:rsidRPr="0061021D">
        <w:rPr>
          <w:rFonts w:ascii="Times New Roman" w:eastAsia="Times New Roman" w:hAnsi="Times New Roman" w:cs="Times New Roman"/>
          <w:szCs w:val="24"/>
        </w:rPr>
        <w:t>and unenforceable, and the Board's ruling was subsequently upheld by the Ontario Divisional Court, which found no error in the Board's reasoning and denied leave to appeal.</w:t>
      </w:r>
      <w:bookmarkStart w:id="10" w:name="_ftnref11"/>
      <w:r w:rsidRPr="0061021D">
        <w:rPr>
          <w:rFonts w:ascii="Times New Roman" w:eastAsia="Times New Roman" w:hAnsi="Times New Roman" w:cs="Times New Roman"/>
          <w:szCs w:val="24"/>
          <w:vertAlign w:val="superscript"/>
        </w:rPr>
        <w:fldChar w:fldCharType="begin"/>
      </w:r>
      <w:r w:rsidRPr="0061021D">
        <w:rPr>
          <w:rFonts w:ascii="Times New Roman" w:eastAsia="Times New Roman" w:hAnsi="Times New Roman" w:cs="Times New Roman"/>
          <w:szCs w:val="24"/>
          <w:vertAlign w:val="superscript"/>
        </w:rPr>
        <w:instrText xml:space="preserve"> HYPERLINK "https://gowlingwlg.com/en/insights-resources/articles/2021/legal-nonconforming-rights-trilogy-in-ontario/" \l "_ftn11" \o "" </w:instrText>
      </w:r>
      <w:r w:rsidRPr="0061021D">
        <w:rPr>
          <w:rFonts w:ascii="Times New Roman" w:eastAsia="Times New Roman" w:hAnsi="Times New Roman" w:cs="Times New Roman"/>
          <w:szCs w:val="24"/>
          <w:vertAlign w:val="superscript"/>
        </w:rPr>
        <w:fldChar w:fldCharType="separate"/>
      </w:r>
      <w:r w:rsidRPr="0061021D">
        <w:rPr>
          <w:rFonts w:ascii="Times New Roman" w:eastAsia="Times New Roman" w:hAnsi="Times New Roman" w:cs="Times New Roman"/>
          <w:color w:val="0000FF"/>
          <w:szCs w:val="24"/>
          <w:u w:val="single"/>
          <w:vertAlign w:val="superscript"/>
        </w:rPr>
        <w:t>[11]</w:t>
      </w:r>
      <w:r w:rsidRPr="0061021D">
        <w:rPr>
          <w:rFonts w:ascii="Times New Roman" w:eastAsia="Times New Roman" w:hAnsi="Times New Roman" w:cs="Times New Roman"/>
          <w:szCs w:val="24"/>
          <w:vertAlign w:val="superscript"/>
        </w:rPr>
        <w:fldChar w:fldCharType="end"/>
      </w:r>
      <w:bookmarkEnd w:id="10"/>
    </w:p>
    <w:p w14:paraId="1EE9E715" w14:textId="77777777" w:rsidR="0061021D" w:rsidRPr="0061021D" w:rsidRDefault="0061021D" w:rsidP="0061021D">
      <w:pPr>
        <w:spacing w:before="100" w:beforeAutospacing="1" w:after="100" w:afterAutospacing="1" w:line="240" w:lineRule="auto"/>
        <w:rPr>
          <w:rFonts w:ascii="Times New Roman" w:eastAsia="Times New Roman" w:hAnsi="Times New Roman" w:cs="Times New Roman"/>
          <w:szCs w:val="24"/>
        </w:rPr>
      </w:pPr>
      <w:r w:rsidRPr="0061021D">
        <w:rPr>
          <w:rFonts w:ascii="Times New Roman" w:eastAsia="Times New Roman" w:hAnsi="Times New Roman" w:cs="Times New Roman"/>
          <w:szCs w:val="24"/>
        </w:rPr>
        <w:t>The City of Ottawa seeking leave to appeal to the Divisional Court was an important element in this story. Since the OMB and LPAT are administrative tribunals, their decisions are merely persuasive in subsequent cases. The Divisional Court's confirmation of the decision in TDL took a persuasive decision and made it law across Ontario, a fact which became important in the new two cases of the Trilogy.</w:t>
      </w:r>
    </w:p>
    <w:p w14:paraId="0E52C89B" w14:textId="77777777" w:rsidR="0061021D" w:rsidRPr="0061021D" w:rsidRDefault="0061021D" w:rsidP="0061021D">
      <w:pPr>
        <w:spacing w:before="100" w:beforeAutospacing="1" w:after="100" w:afterAutospacing="1" w:line="240" w:lineRule="auto"/>
        <w:outlineLvl w:val="1"/>
        <w:rPr>
          <w:rFonts w:ascii="Times New Roman" w:eastAsia="Times New Roman" w:hAnsi="Times New Roman" w:cs="Times New Roman"/>
          <w:b/>
          <w:bCs/>
          <w:sz w:val="36"/>
          <w:szCs w:val="36"/>
        </w:rPr>
      </w:pPr>
      <w:r w:rsidRPr="0061021D">
        <w:rPr>
          <w:rFonts w:ascii="Times New Roman" w:eastAsia="Times New Roman" w:hAnsi="Times New Roman" w:cs="Times New Roman"/>
          <w:b/>
          <w:bCs/>
          <w:sz w:val="36"/>
          <w:szCs w:val="36"/>
        </w:rPr>
        <w:t>Case #2:</w:t>
      </w:r>
      <w:r w:rsidRPr="0061021D">
        <w:rPr>
          <w:rFonts w:ascii="Times New Roman" w:eastAsia="Times New Roman" w:hAnsi="Times New Roman" w:cs="Times New Roman"/>
          <w:b/>
          <w:bCs/>
          <w:i/>
          <w:iCs/>
          <w:sz w:val="36"/>
          <w:szCs w:val="36"/>
        </w:rPr>
        <w:t xml:space="preserve"> Brougham v. South Frontenac (Township)</w:t>
      </w:r>
    </w:p>
    <w:p w14:paraId="18E689B9" w14:textId="77777777" w:rsidR="0061021D" w:rsidRPr="0061021D" w:rsidRDefault="0061021D" w:rsidP="0061021D">
      <w:pPr>
        <w:spacing w:before="100" w:beforeAutospacing="1" w:after="100" w:afterAutospacing="1" w:line="240" w:lineRule="auto"/>
        <w:rPr>
          <w:rFonts w:ascii="Times New Roman" w:eastAsia="Times New Roman" w:hAnsi="Times New Roman" w:cs="Times New Roman"/>
          <w:szCs w:val="24"/>
        </w:rPr>
      </w:pPr>
      <w:r w:rsidRPr="0061021D">
        <w:rPr>
          <w:rFonts w:ascii="Times New Roman" w:eastAsia="Times New Roman" w:hAnsi="Times New Roman" w:cs="Times New Roman"/>
          <w:i/>
          <w:iCs/>
          <w:szCs w:val="24"/>
        </w:rPr>
        <w:t xml:space="preserve">Brougham, </w:t>
      </w:r>
      <w:r w:rsidRPr="0061021D">
        <w:rPr>
          <w:rFonts w:ascii="Times New Roman" w:eastAsia="Times New Roman" w:hAnsi="Times New Roman" w:cs="Times New Roman"/>
          <w:szCs w:val="24"/>
        </w:rPr>
        <w:t>the second case in the Trilogy, involved similar issues to those before the OMB in TDL</w:t>
      </w:r>
      <w:r w:rsidRPr="0061021D">
        <w:rPr>
          <w:rFonts w:ascii="Times New Roman" w:eastAsia="Times New Roman" w:hAnsi="Times New Roman" w:cs="Times New Roman"/>
          <w:i/>
          <w:iCs/>
          <w:szCs w:val="24"/>
        </w:rPr>
        <w:t xml:space="preserve">. </w:t>
      </w:r>
      <w:r w:rsidRPr="0061021D">
        <w:rPr>
          <w:rFonts w:ascii="Times New Roman" w:eastAsia="Times New Roman" w:hAnsi="Times New Roman" w:cs="Times New Roman"/>
          <w:szCs w:val="24"/>
        </w:rPr>
        <w:t xml:space="preserve">In 2016, the Township of South Frontenac amended its Comprehensive Zoning By-law in an effort to phase out all structures located within the bylaw-required 30-metre shoreline setbacks. This setback was repeated in the Township's Official Plan. Interestingly, the </w:t>
      </w:r>
      <w:proofErr w:type="gramStart"/>
      <w:r w:rsidRPr="0061021D">
        <w:rPr>
          <w:rFonts w:ascii="Times New Roman" w:eastAsia="Times New Roman" w:hAnsi="Times New Roman" w:cs="Times New Roman"/>
          <w:szCs w:val="24"/>
        </w:rPr>
        <w:t xml:space="preserve">30 </w:t>
      </w:r>
      <w:proofErr w:type="spellStart"/>
      <w:r w:rsidRPr="0061021D">
        <w:rPr>
          <w:rFonts w:ascii="Times New Roman" w:eastAsia="Times New Roman" w:hAnsi="Times New Roman" w:cs="Times New Roman"/>
          <w:szCs w:val="24"/>
        </w:rPr>
        <w:t>metre</w:t>
      </w:r>
      <w:proofErr w:type="spellEnd"/>
      <w:proofErr w:type="gramEnd"/>
      <w:r w:rsidRPr="0061021D">
        <w:rPr>
          <w:rFonts w:ascii="Times New Roman" w:eastAsia="Times New Roman" w:hAnsi="Times New Roman" w:cs="Times New Roman"/>
          <w:szCs w:val="24"/>
        </w:rPr>
        <w:t xml:space="preserve"> setback was, as it is across Ontario, based on an extremely dated study, which itself said that it needed to be updated every 5 years, and with respect to specific lakes' environmental sensitivity.</w:t>
      </w:r>
    </w:p>
    <w:p w14:paraId="5F3E4683" w14:textId="77777777" w:rsidR="0061021D" w:rsidRPr="0061021D" w:rsidRDefault="0061021D" w:rsidP="0061021D">
      <w:pPr>
        <w:spacing w:before="100" w:beforeAutospacing="1" w:after="100" w:afterAutospacing="1" w:line="240" w:lineRule="auto"/>
        <w:rPr>
          <w:rFonts w:ascii="Times New Roman" w:eastAsia="Times New Roman" w:hAnsi="Times New Roman" w:cs="Times New Roman"/>
          <w:szCs w:val="24"/>
        </w:rPr>
      </w:pPr>
      <w:r w:rsidRPr="0061021D">
        <w:rPr>
          <w:rFonts w:ascii="Times New Roman" w:eastAsia="Times New Roman" w:hAnsi="Times New Roman" w:cs="Times New Roman"/>
          <w:szCs w:val="24"/>
        </w:rPr>
        <w:t xml:space="preserve">The Township's amendments provided that reconstruction of a building located within the </w:t>
      </w:r>
      <w:proofErr w:type="gramStart"/>
      <w:r w:rsidRPr="0061021D">
        <w:rPr>
          <w:rFonts w:ascii="Times New Roman" w:eastAsia="Times New Roman" w:hAnsi="Times New Roman" w:cs="Times New Roman"/>
          <w:szCs w:val="24"/>
        </w:rPr>
        <w:t xml:space="preserve">30 </w:t>
      </w:r>
      <w:proofErr w:type="spellStart"/>
      <w:r w:rsidRPr="0061021D">
        <w:rPr>
          <w:rFonts w:ascii="Times New Roman" w:eastAsia="Times New Roman" w:hAnsi="Times New Roman" w:cs="Times New Roman"/>
          <w:szCs w:val="24"/>
        </w:rPr>
        <w:t>metre</w:t>
      </w:r>
      <w:proofErr w:type="spellEnd"/>
      <w:proofErr w:type="gramEnd"/>
      <w:r w:rsidRPr="0061021D">
        <w:rPr>
          <w:rFonts w:ascii="Times New Roman" w:eastAsia="Times New Roman" w:hAnsi="Times New Roman" w:cs="Times New Roman"/>
          <w:szCs w:val="24"/>
        </w:rPr>
        <w:t xml:space="preserve"> setback was prohibited where: more than 50% of the exterior load-bearing walls were voluntarily removed; or the structure was involuntarily destroyed, either partially or completely, and the property owner did not apply for a building permit to reconstruct within 1 year. Furthermore, the Township's amendments prohibited any expansion of the footprint of a legally nonconforming/noncomplying building.</w:t>
      </w:r>
    </w:p>
    <w:p w14:paraId="7323F44A" w14:textId="77777777" w:rsidR="0061021D" w:rsidRPr="0061021D" w:rsidRDefault="0061021D" w:rsidP="0061021D">
      <w:pPr>
        <w:spacing w:before="100" w:beforeAutospacing="1" w:after="100" w:afterAutospacing="1" w:line="240" w:lineRule="auto"/>
        <w:rPr>
          <w:rFonts w:ascii="Times New Roman" w:eastAsia="Times New Roman" w:hAnsi="Times New Roman" w:cs="Times New Roman"/>
          <w:szCs w:val="24"/>
        </w:rPr>
      </w:pPr>
      <w:r w:rsidRPr="0061021D">
        <w:rPr>
          <w:rFonts w:ascii="Times New Roman" w:eastAsia="Times New Roman" w:hAnsi="Times New Roman" w:cs="Times New Roman"/>
          <w:szCs w:val="24"/>
        </w:rPr>
        <w:t xml:space="preserve">Although the Township was aware of the </w:t>
      </w:r>
      <w:r w:rsidRPr="0061021D">
        <w:rPr>
          <w:rFonts w:ascii="Times New Roman" w:eastAsia="Times New Roman" w:hAnsi="Times New Roman" w:cs="Times New Roman"/>
          <w:i/>
          <w:iCs/>
          <w:szCs w:val="24"/>
        </w:rPr>
        <w:t xml:space="preserve">TDL </w:t>
      </w:r>
      <w:r w:rsidRPr="0061021D">
        <w:rPr>
          <w:rFonts w:ascii="Times New Roman" w:eastAsia="Times New Roman" w:hAnsi="Times New Roman" w:cs="Times New Roman"/>
          <w:szCs w:val="24"/>
        </w:rPr>
        <w:t xml:space="preserve">decision, it claimed that the protections in s. 34(9) of the </w:t>
      </w:r>
      <w:r w:rsidRPr="0061021D">
        <w:rPr>
          <w:rFonts w:ascii="Times New Roman" w:eastAsia="Times New Roman" w:hAnsi="Times New Roman" w:cs="Times New Roman"/>
          <w:i/>
          <w:iCs/>
          <w:szCs w:val="24"/>
        </w:rPr>
        <w:t xml:space="preserve">Planning Act </w:t>
      </w:r>
      <w:r w:rsidRPr="0061021D">
        <w:rPr>
          <w:rFonts w:ascii="Times New Roman" w:eastAsia="Times New Roman" w:hAnsi="Times New Roman" w:cs="Times New Roman"/>
          <w:szCs w:val="24"/>
        </w:rPr>
        <w:t>only applied to nonconforming</w:t>
      </w:r>
      <w:r w:rsidRPr="0061021D">
        <w:rPr>
          <w:rFonts w:ascii="Times New Roman" w:eastAsia="Times New Roman" w:hAnsi="Times New Roman" w:cs="Times New Roman"/>
          <w:i/>
          <w:iCs/>
          <w:szCs w:val="24"/>
        </w:rPr>
        <w:t xml:space="preserve"> </w:t>
      </w:r>
      <w:r w:rsidRPr="0061021D">
        <w:rPr>
          <w:rFonts w:ascii="Times New Roman" w:eastAsia="Times New Roman" w:hAnsi="Times New Roman" w:cs="Times New Roman"/>
          <w:b/>
          <w:bCs/>
          <w:szCs w:val="24"/>
        </w:rPr>
        <w:t xml:space="preserve">uses </w:t>
      </w:r>
      <w:r w:rsidRPr="0061021D">
        <w:rPr>
          <w:rFonts w:ascii="Times New Roman" w:eastAsia="Times New Roman" w:hAnsi="Times New Roman" w:cs="Times New Roman"/>
          <w:szCs w:val="24"/>
        </w:rPr>
        <w:t xml:space="preserve">(land, buildings or structures whose use was no longer permitted) as opposed </w:t>
      </w:r>
      <w:r w:rsidRPr="0061021D">
        <w:rPr>
          <w:rFonts w:ascii="Times New Roman" w:eastAsia="Times New Roman" w:hAnsi="Times New Roman" w:cs="Times New Roman"/>
          <w:i/>
          <w:iCs/>
          <w:szCs w:val="24"/>
        </w:rPr>
        <w:t xml:space="preserve">noncomplying </w:t>
      </w:r>
      <w:r w:rsidRPr="0061021D">
        <w:rPr>
          <w:rFonts w:ascii="Times New Roman" w:eastAsia="Times New Roman" w:hAnsi="Times New Roman" w:cs="Times New Roman"/>
          <w:szCs w:val="24"/>
        </w:rPr>
        <w:t xml:space="preserve">buildings (buildings or structures that no longer conformed to performance standards). The Township's position was that buildings located within the </w:t>
      </w:r>
      <w:proofErr w:type="gramStart"/>
      <w:r w:rsidRPr="0061021D">
        <w:rPr>
          <w:rFonts w:ascii="Times New Roman" w:eastAsia="Times New Roman" w:hAnsi="Times New Roman" w:cs="Times New Roman"/>
          <w:szCs w:val="24"/>
        </w:rPr>
        <w:t xml:space="preserve">30 </w:t>
      </w:r>
      <w:proofErr w:type="spellStart"/>
      <w:r w:rsidRPr="0061021D">
        <w:rPr>
          <w:rFonts w:ascii="Times New Roman" w:eastAsia="Times New Roman" w:hAnsi="Times New Roman" w:cs="Times New Roman"/>
          <w:szCs w:val="24"/>
        </w:rPr>
        <w:t>metre</w:t>
      </w:r>
      <w:proofErr w:type="spellEnd"/>
      <w:proofErr w:type="gramEnd"/>
      <w:r w:rsidRPr="0061021D">
        <w:rPr>
          <w:rFonts w:ascii="Times New Roman" w:eastAsia="Times New Roman" w:hAnsi="Times New Roman" w:cs="Times New Roman"/>
          <w:szCs w:val="24"/>
        </w:rPr>
        <w:t xml:space="preserve"> setback were noncomplying, and therefore did not benefit from the protection of s.34(9) of the </w:t>
      </w:r>
      <w:r w:rsidRPr="0061021D">
        <w:rPr>
          <w:rFonts w:ascii="Times New Roman" w:eastAsia="Times New Roman" w:hAnsi="Times New Roman" w:cs="Times New Roman"/>
          <w:i/>
          <w:iCs/>
          <w:szCs w:val="24"/>
        </w:rPr>
        <w:t>Planning Act</w:t>
      </w:r>
      <w:r w:rsidRPr="0061021D">
        <w:rPr>
          <w:rFonts w:ascii="Times New Roman" w:eastAsia="Times New Roman" w:hAnsi="Times New Roman" w:cs="Times New Roman"/>
          <w:szCs w:val="24"/>
        </w:rPr>
        <w:t>.</w:t>
      </w:r>
    </w:p>
    <w:p w14:paraId="455FBFE1" w14:textId="77777777" w:rsidR="0061021D" w:rsidRPr="0061021D" w:rsidRDefault="0061021D" w:rsidP="0061021D">
      <w:pPr>
        <w:spacing w:before="100" w:beforeAutospacing="1" w:after="100" w:afterAutospacing="1" w:line="240" w:lineRule="auto"/>
        <w:rPr>
          <w:rFonts w:ascii="Times New Roman" w:eastAsia="Times New Roman" w:hAnsi="Times New Roman" w:cs="Times New Roman"/>
          <w:szCs w:val="24"/>
        </w:rPr>
      </w:pPr>
      <w:r w:rsidRPr="0061021D">
        <w:rPr>
          <w:rFonts w:ascii="Times New Roman" w:eastAsia="Times New Roman" w:hAnsi="Times New Roman" w:cs="Times New Roman"/>
          <w:szCs w:val="24"/>
        </w:rPr>
        <w:t xml:space="preserve">On appeal, the OMB sided with the appellants and quashed the Township amendments in their entirety as </w:t>
      </w:r>
      <w:r w:rsidRPr="0061021D">
        <w:rPr>
          <w:rFonts w:ascii="Times New Roman" w:eastAsia="Times New Roman" w:hAnsi="Times New Roman" w:cs="Times New Roman"/>
          <w:i/>
          <w:iCs/>
          <w:szCs w:val="24"/>
        </w:rPr>
        <w:t>ultra vires</w:t>
      </w:r>
      <w:r w:rsidRPr="0061021D">
        <w:rPr>
          <w:rFonts w:ascii="Times New Roman" w:eastAsia="Times New Roman" w:hAnsi="Times New Roman" w:cs="Times New Roman"/>
          <w:szCs w:val="24"/>
        </w:rPr>
        <w:t xml:space="preserve">. To begin with, the Board agreed with the appellants that the term "noncomplying" is simply a term of art with no basis in the </w:t>
      </w:r>
      <w:r w:rsidRPr="0061021D">
        <w:rPr>
          <w:rFonts w:ascii="Times New Roman" w:eastAsia="Times New Roman" w:hAnsi="Times New Roman" w:cs="Times New Roman"/>
          <w:i/>
          <w:iCs/>
          <w:szCs w:val="24"/>
        </w:rPr>
        <w:t>Planning Act</w:t>
      </w:r>
      <w:r w:rsidRPr="0061021D">
        <w:rPr>
          <w:rFonts w:ascii="Times New Roman" w:eastAsia="Times New Roman" w:hAnsi="Times New Roman" w:cs="Times New Roman"/>
          <w:szCs w:val="24"/>
        </w:rPr>
        <w:t xml:space="preserve"> and that there is </w:t>
      </w:r>
      <w:r w:rsidRPr="0061021D">
        <w:rPr>
          <w:rFonts w:ascii="Times New Roman" w:eastAsia="Times New Roman" w:hAnsi="Times New Roman" w:cs="Times New Roman"/>
          <w:b/>
          <w:bCs/>
          <w:szCs w:val="24"/>
        </w:rPr>
        <w:t>no basis</w:t>
      </w:r>
      <w:r w:rsidRPr="0061021D">
        <w:rPr>
          <w:rFonts w:ascii="Times New Roman" w:eastAsia="Times New Roman" w:hAnsi="Times New Roman" w:cs="Times New Roman"/>
          <w:szCs w:val="24"/>
        </w:rPr>
        <w:t xml:space="preserve"> for distinguishing between "nonconforming" and "noncomplying" uses under the </w:t>
      </w:r>
      <w:r w:rsidRPr="0061021D">
        <w:rPr>
          <w:rFonts w:ascii="Times New Roman" w:eastAsia="Times New Roman" w:hAnsi="Times New Roman" w:cs="Times New Roman"/>
          <w:i/>
          <w:iCs/>
          <w:szCs w:val="24"/>
        </w:rPr>
        <w:t>Act</w:t>
      </w:r>
      <w:r w:rsidRPr="0061021D">
        <w:rPr>
          <w:rFonts w:ascii="Times New Roman" w:eastAsia="Times New Roman" w:hAnsi="Times New Roman" w:cs="Times New Roman"/>
          <w:szCs w:val="24"/>
        </w:rPr>
        <w:t>. Any legally established land, building or structure that no longer conforms with a zoning by-law is protected under s. 34(9) and the common law, regardless of whether the nonconformance is in terms of use or performance standards.</w:t>
      </w:r>
      <w:bookmarkStart w:id="11" w:name="_ftnref12"/>
      <w:r w:rsidRPr="0061021D">
        <w:rPr>
          <w:rFonts w:ascii="Times New Roman" w:eastAsia="Times New Roman" w:hAnsi="Times New Roman" w:cs="Times New Roman"/>
          <w:szCs w:val="24"/>
          <w:vertAlign w:val="superscript"/>
        </w:rPr>
        <w:fldChar w:fldCharType="begin"/>
      </w:r>
      <w:r w:rsidRPr="0061021D">
        <w:rPr>
          <w:rFonts w:ascii="Times New Roman" w:eastAsia="Times New Roman" w:hAnsi="Times New Roman" w:cs="Times New Roman"/>
          <w:szCs w:val="24"/>
          <w:vertAlign w:val="superscript"/>
        </w:rPr>
        <w:instrText xml:space="preserve"> HYPERLINK "https://gowlingwlg.com/en/insights-resources/articles/2021/legal-nonconforming-rights-trilogy-in-ontario/" \l "_ftn12" \o "" </w:instrText>
      </w:r>
      <w:r w:rsidRPr="0061021D">
        <w:rPr>
          <w:rFonts w:ascii="Times New Roman" w:eastAsia="Times New Roman" w:hAnsi="Times New Roman" w:cs="Times New Roman"/>
          <w:szCs w:val="24"/>
          <w:vertAlign w:val="superscript"/>
        </w:rPr>
        <w:fldChar w:fldCharType="separate"/>
      </w:r>
      <w:r w:rsidRPr="0061021D">
        <w:rPr>
          <w:rFonts w:ascii="Times New Roman" w:eastAsia="Times New Roman" w:hAnsi="Times New Roman" w:cs="Times New Roman"/>
          <w:color w:val="0000FF"/>
          <w:szCs w:val="24"/>
          <w:u w:val="single"/>
          <w:vertAlign w:val="superscript"/>
        </w:rPr>
        <w:t>[12]</w:t>
      </w:r>
      <w:r w:rsidRPr="0061021D">
        <w:rPr>
          <w:rFonts w:ascii="Times New Roman" w:eastAsia="Times New Roman" w:hAnsi="Times New Roman" w:cs="Times New Roman"/>
          <w:szCs w:val="24"/>
          <w:vertAlign w:val="superscript"/>
        </w:rPr>
        <w:fldChar w:fldCharType="end"/>
      </w:r>
      <w:bookmarkEnd w:id="11"/>
      <w:r w:rsidRPr="0061021D">
        <w:rPr>
          <w:rFonts w:ascii="Times New Roman" w:eastAsia="Times New Roman" w:hAnsi="Times New Roman" w:cs="Times New Roman"/>
          <w:szCs w:val="24"/>
        </w:rPr>
        <w:t xml:space="preserve"> In short, the ostensibly "noncomplying"" structures located within the Township's 30 </w:t>
      </w:r>
      <w:proofErr w:type="spellStart"/>
      <w:r w:rsidRPr="0061021D">
        <w:rPr>
          <w:rFonts w:ascii="Times New Roman" w:eastAsia="Times New Roman" w:hAnsi="Times New Roman" w:cs="Times New Roman"/>
          <w:szCs w:val="24"/>
        </w:rPr>
        <w:t>metre</w:t>
      </w:r>
      <w:proofErr w:type="spellEnd"/>
      <w:r w:rsidRPr="0061021D">
        <w:rPr>
          <w:rFonts w:ascii="Times New Roman" w:eastAsia="Times New Roman" w:hAnsi="Times New Roman" w:cs="Times New Roman"/>
          <w:szCs w:val="24"/>
        </w:rPr>
        <w:t xml:space="preserve"> shoreline setback were equally protected under the </w:t>
      </w:r>
      <w:r w:rsidRPr="0061021D">
        <w:rPr>
          <w:rFonts w:ascii="Times New Roman" w:eastAsia="Times New Roman" w:hAnsi="Times New Roman" w:cs="Times New Roman"/>
          <w:i/>
          <w:iCs/>
          <w:szCs w:val="24"/>
        </w:rPr>
        <w:t>Planning Act</w:t>
      </w:r>
      <w:r w:rsidRPr="0061021D">
        <w:rPr>
          <w:rFonts w:ascii="Times New Roman" w:eastAsia="Times New Roman" w:hAnsi="Times New Roman" w:cs="Times New Roman"/>
          <w:szCs w:val="24"/>
        </w:rPr>
        <w:t xml:space="preserve"> and the common law.</w:t>
      </w:r>
    </w:p>
    <w:p w14:paraId="05510477" w14:textId="77777777" w:rsidR="0061021D" w:rsidRPr="0061021D" w:rsidRDefault="0061021D" w:rsidP="0061021D">
      <w:pPr>
        <w:spacing w:before="100" w:beforeAutospacing="1" w:after="100" w:afterAutospacing="1" w:line="240" w:lineRule="auto"/>
        <w:rPr>
          <w:rFonts w:ascii="Times New Roman" w:eastAsia="Times New Roman" w:hAnsi="Times New Roman" w:cs="Times New Roman"/>
          <w:szCs w:val="24"/>
        </w:rPr>
      </w:pPr>
      <w:r w:rsidRPr="0061021D">
        <w:rPr>
          <w:rFonts w:ascii="Times New Roman" w:eastAsia="Times New Roman" w:hAnsi="Times New Roman" w:cs="Times New Roman"/>
          <w:szCs w:val="24"/>
        </w:rPr>
        <w:t xml:space="preserve">Having made this finding, the Board concluded that it was bound by the Divisional Court's ruling in </w:t>
      </w:r>
      <w:r w:rsidRPr="0061021D">
        <w:rPr>
          <w:rFonts w:ascii="Times New Roman" w:eastAsia="Times New Roman" w:hAnsi="Times New Roman" w:cs="Times New Roman"/>
          <w:i/>
          <w:iCs/>
          <w:szCs w:val="24"/>
        </w:rPr>
        <w:t xml:space="preserve">TDL </w:t>
      </w:r>
      <w:r w:rsidRPr="0061021D">
        <w:rPr>
          <w:rFonts w:ascii="Times New Roman" w:eastAsia="Times New Roman" w:hAnsi="Times New Roman" w:cs="Times New Roman"/>
          <w:szCs w:val="24"/>
        </w:rPr>
        <w:t xml:space="preserve">that concluding owners of legally nonconforming/noncomplying buildings and structures </w:t>
      </w:r>
      <w:r w:rsidRPr="0061021D">
        <w:rPr>
          <w:rFonts w:ascii="Times New Roman" w:eastAsia="Times New Roman" w:hAnsi="Times New Roman" w:cs="Times New Roman"/>
          <w:szCs w:val="24"/>
        </w:rPr>
        <w:lastRenderedPageBreak/>
        <w:t xml:space="preserve">have an absolute right to demolish and reconstruct within the same building envelope, and that this right cannot be taken away, including through arbitrary time limits on that reconstruction. As such, the Township amendments were </w:t>
      </w:r>
      <w:r w:rsidRPr="0061021D">
        <w:rPr>
          <w:rFonts w:ascii="Times New Roman" w:eastAsia="Times New Roman" w:hAnsi="Times New Roman" w:cs="Times New Roman"/>
          <w:i/>
          <w:iCs/>
          <w:szCs w:val="24"/>
        </w:rPr>
        <w:t>ultra vires</w:t>
      </w:r>
      <w:r w:rsidRPr="0061021D">
        <w:rPr>
          <w:rFonts w:ascii="Times New Roman" w:eastAsia="Times New Roman" w:hAnsi="Times New Roman" w:cs="Times New Roman"/>
          <w:szCs w:val="24"/>
        </w:rPr>
        <w:t xml:space="preserve"> insofar as they sought to curtail property owners' rights to demolish and reconstruct their buildings and structures within the 30-metre waterfront setback.</w:t>
      </w:r>
      <w:bookmarkStart w:id="12" w:name="_ftnref13"/>
      <w:r w:rsidRPr="0061021D">
        <w:rPr>
          <w:rFonts w:ascii="Times New Roman" w:eastAsia="Times New Roman" w:hAnsi="Times New Roman" w:cs="Times New Roman"/>
          <w:szCs w:val="24"/>
          <w:vertAlign w:val="superscript"/>
        </w:rPr>
        <w:fldChar w:fldCharType="begin"/>
      </w:r>
      <w:r w:rsidRPr="0061021D">
        <w:rPr>
          <w:rFonts w:ascii="Times New Roman" w:eastAsia="Times New Roman" w:hAnsi="Times New Roman" w:cs="Times New Roman"/>
          <w:szCs w:val="24"/>
          <w:vertAlign w:val="superscript"/>
        </w:rPr>
        <w:instrText xml:space="preserve"> HYPERLINK "https://gowlingwlg.com/en/insights-resources/articles/2021/legal-nonconforming-rights-trilogy-in-ontario/" \l "_ftn13" \o "" </w:instrText>
      </w:r>
      <w:r w:rsidRPr="0061021D">
        <w:rPr>
          <w:rFonts w:ascii="Times New Roman" w:eastAsia="Times New Roman" w:hAnsi="Times New Roman" w:cs="Times New Roman"/>
          <w:szCs w:val="24"/>
          <w:vertAlign w:val="superscript"/>
        </w:rPr>
        <w:fldChar w:fldCharType="separate"/>
      </w:r>
      <w:r w:rsidRPr="0061021D">
        <w:rPr>
          <w:rFonts w:ascii="Times New Roman" w:eastAsia="Times New Roman" w:hAnsi="Times New Roman" w:cs="Times New Roman"/>
          <w:color w:val="0000FF"/>
          <w:szCs w:val="24"/>
          <w:u w:val="single"/>
          <w:vertAlign w:val="superscript"/>
        </w:rPr>
        <w:t>[13]</w:t>
      </w:r>
      <w:r w:rsidRPr="0061021D">
        <w:rPr>
          <w:rFonts w:ascii="Times New Roman" w:eastAsia="Times New Roman" w:hAnsi="Times New Roman" w:cs="Times New Roman"/>
          <w:szCs w:val="24"/>
          <w:vertAlign w:val="superscript"/>
        </w:rPr>
        <w:fldChar w:fldCharType="end"/>
      </w:r>
      <w:bookmarkEnd w:id="12"/>
    </w:p>
    <w:p w14:paraId="10250806" w14:textId="77777777" w:rsidR="0061021D" w:rsidRPr="0061021D" w:rsidRDefault="0061021D" w:rsidP="0061021D">
      <w:pPr>
        <w:spacing w:before="100" w:beforeAutospacing="1" w:after="100" w:afterAutospacing="1" w:line="240" w:lineRule="auto"/>
        <w:rPr>
          <w:rFonts w:ascii="Times New Roman" w:eastAsia="Times New Roman" w:hAnsi="Times New Roman" w:cs="Times New Roman"/>
          <w:szCs w:val="24"/>
        </w:rPr>
      </w:pPr>
      <w:r w:rsidRPr="0061021D">
        <w:rPr>
          <w:rFonts w:ascii="Times New Roman" w:eastAsia="Times New Roman" w:hAnsi="Times New Roman" w:cs="Times New Roman"/>
          <w:szCs w:val="24"/>
        </w:rPr>
        <w:t>Critically, the Board also agreed with the appellants that the case law surrounding nonconforming rights also supported a right to reasonable expansion or enlargement of a legally nonconforming/noncomplying building. Such expansion may not occur as of right, and landowners must seek permission to expand a legally nonconforming/noncomplying building or structure (under s. 45(2)(a)(</w:t>
      </w:r>
      <w:proofErr w:type="spellStart"/>
      <w:r w:rsidRPr="0061021D">
        <w:rPr>
          <w:rFonts w:ascii="Times New Roman" w:eastAsia="Times New Roman" w:hAnsi="Times New Roman" w:cs="Times New Roman"/>
          <w:szCs w:val="24"/>
        </w:rPr>
        <w:t>i</w:t>
      </w:r>
      <w:proofErr w:type="spellEnd"/>
      <w:r w:rsidRPr="0061021D">
        <w:rPr>
          <w:rFonts w:ascii="Times New Roman" w:eastAsia="Times New Roman" w:hAnsi="Times New Roman" w:cs="Times New Roman"/>
          <w:szCs w:val="24"/>
        </w:rPr>
        <w:t xml:space="preserve">) of the </w:t>
      </w:r>
      <w:r w:rsidRPr="0061021D">
        <w:rPr>
          <w:rFonts w:ascii="Times New Roman" w:eastAsia="Times New Roman" w:hAnsi="Times New Roman" w:cs="Times New Roman"/>
          <w:i/>
          <w:iCs/>
          <w:szCs w:val="24"/>
        </w:rPr>
        <w:t xml:space="preserve">Planning Act, </w:t>
      </w:r>
      <w:r w:rsidRPr="0061021D">
        <w:rPr>
          <w:rFonts w:ascii="Times New Roman" w:eastAsia="Times New Roman" w:hAnsi="Times New Roman" w:cs="Times New Roman"/>
          <w:szCs w:val="24"/>
        </w:rPr>
        <w:t xml:space="preserve">as distinct from a "minor variance" application under s.45(1)). However, the Board confirmed that municipalities may not enact planning instruments prohibiting such expansions, and that they must consider requests to expand or enlarge legally nonconforming/noncomplying uses under the framework set out by the Supreme Court in </w:t>
      </w:r>
      <w:r w:rsidRPr="0061021D">
        <w:rPr>
          <w:rFonts w:ascii="Times New Roman" w:eastAsia="Times New Roman" w:hAnsi="Times New Roman" w:cs="Times New Roman"/>
          <w:i/>
          <w:iCs/>
          <w:szCs w:val="24"/>
        </w:rPr>
        <w:t>Saint-Romuald</w:t>
      </w:r>
      <w:r w:rsidRPr="0061021D">
        <w:rPr>
          <w:rFonts w:ascii="Times New Roman" w:eastAsia="Times New Roman" w:hAnsi="Times New Roman" w:cs="Times New Roman"/>
          <w:szCs w:val="24"/>
        </w:rPr>
        <w:t xml:space="preserve">. </w:t>
      </w:r>
      <w:bookmarkStart w:id="13" w:name="_ftnref14"/>
      <w:r w:rsidRPr="0061021D">
        <w:rPr>
          <w:rFonts w:ascii="Times New Roman" w:eastAsia="Times New Roman" w:hAnsi="Times New Roman" w:cs="Times New Roman"/>
          <w:szCs w:val="24"/>
          <w:vertAlign w:val="superscript"/>
        </w:rPr>
        <w:fldChar w:fldCharType="begin"/>
      </w:r>
      <w:r w:rsidRPr="0061021D">
        <w:rPr>
          <w:rFonts w:ascii="Times New Roman" w:eastAsia="Times New Roman" w:hAnsi="Times New Roman" w:cs="Times New Roman"/>
          <w:szCs w:val="24"/>
          <w:vertAlign w:val="superscript"/>
        </w:rPr>
        <w:instrText xml:space="preserve"> HYPERLINK "https://gowlingwlg.com/en/insights-resources/articles/2021/legal-nonconforming-rights-trilogy-in-ontario/" \l "_ftn14" \o "" </w:instrText>
      </w:r>
      <w:r w:rsidRPr="0061021D">
        <w:rPr>
          <w:rFonts w:ascii="Times New Roman" w:eastAsia="Times New Roman" w:hAnsi="Times New Roman" w:cs="Times New Roman"/>
          <w:szCs w:val="24"/>
          <w:vertAlign w:val="superscript"/>
        </w:rPr>
        <w:fldChar w:fldCharType="separate"/>
      </w:r>
      <w:r w:rsidRPr="0061021D">
        <w:rPr>
          <w:rFonts w:ascii="Times New Roman" w:eastAsia="Times New Roman" w:hAnsi="Times New Roman" w:cs="Times New Roman"/>
          <w:color w:val="0000FF"/>
          <w:szCs w:val="24"/>
          <w:u w:val="single"/>
          <w:vertAlign w:val="superscript"/>
        </w:rPr>
        <w:t>[14]</w:t>
      </w:r>
      <w:r w:rsidRPr="0061021D">
        <w:rPr>
          <w:rFonts w:ascii="Times New Roman" w:eastAsia="Times New Roman" w:hAnsi="Times New Roman" w:cs="Times New Roman"/>
          <w:szCs w:val="24"/>
          <w:vertAlign w:val="superscript"/>
        </w:rPr>
        <w:fldChar w:fldCharType="end"/>
      </w:r>
      <w:bookmarkEnd w:id="13"/>
    </w:p>
    <w:p w14:paraId="77B189E5" w14:textId="77777777" w:rsidR="0061021D" w:rsidRPr="0061021D" w:rsidRDefault="0061021D" w:rsidP="0061021D">
      <w:pPr>
        <w:spacing w:before="100" w:beforeAutospacing="1" w:after="100" w:afterAutospacing="1" w:line="240" w:lineRule="auto"/>
        <w:outlineLvl w:val="1"/>
        <w:rPr>
          <w:rFonts w:ascii="Times New Roman" w:eastAsia="Times New Roman" w:hAnsi="Times New Roman" w:cs="Times New Roman"/>
          <w:b/>
          <w:bCs/>
          <w:sz w:val="36"/>
          <w:szCs w:val="36"/>
        </w:rPr>
      </w:pPr>
      <w:r w:rsidRPr="0061021D">
        <w:rPr>
          <w:rFonts w:ascii="Times New Roman" w:eastAsia="Times New Roman" w:hAnsi="Times New Roman" w:cs="Times New Roman"/>
          <w:b/>
          <w:bCs/>
          <w:sz w:val="36"/>
          <w:szCs w:val="36"/>
        </w:rPr>
        <w:t xml:space="preserve">Case #3: </w:t>
      </w:r>
      <w:r w:rsidRPr="0061021D">
        <w:rPr>
          <w:rFonts w:ascii="Times New Roman" w:eastAsia="Times New Roman" w:hAnsi="Times New Roman" w:cs="Times New Roman"/>
          <w:b/>
          <w:bCs/>
          <w:i/>
          <w:iCs/>
          <w:sz w:val="36"/>
          <w:szCs w:val="36"/>
        </w:rPr>
        <w:t>Fraser v. Rideau Lakes (Township)</w:t>
      </w:r>
    </w:p>
    <w:p w14:paraId="71040D79" w14:textId="77777777" w:rsidR="0061021D" w:rsidRPr="0061021D" w:rsidRDefault="0061021D" w:rsidP="0061021D">
      <w:pPr>
        <w:spacing w:before="100" w:beforeAutospacing="1" w:after="100" w:afterAutospacing="1" w:line="240" w:lineRule="auto"/>
        <w:rPr>
          <w:rFonts w:ascii="Times New Roman" w:eastAsia="Times New Roman" w:hAnsi="Times New Roman" w:cs="Times New Roman"/>
          <w:szCs w:val="24"/>
        </w:rPr>
      </w:pPr>
      <w:r w:rsidRPr="0061021D">
        <w:rPr>
          <w:rFonts w:ascii="Times New Roman" w:eastAsia="Times New Roman" w:hAnsi="Times New Roman" w:cs="Times New Roman"/>
          <w:i/>
          <w:iCs/>
          <w:szCs w:val="24"/>
        </w:rPr>
        <w:t xml:space="preserve">Fraser, </w:t>
      </w:r>
      <w:r w:rsidRPr="0061021D">
        <w:rPr>
          <w:rFonts w:ascii="Times New Roman" w:eastAsia="Times New Roman" w:hAnsi="Times New Roman" w:cs="Times New Roman"/>
          <w:szCs w:val="24"/>
        </w:rPr>
        <w:t xml:space="preserve">the final case in the Trilogy, represents precisely the type of request for enlargement of a legally nonconforming/ noncomplying building contemplated by the Board in </w:t>
      </w:r>
      <w:r w:rsidRPr="0061021D">
        <w:rPr>
          <w:rFonts w:ascii="Times New Roman" w:eastAsia="Times New Roman" w:hAnsi="Times New Roman" w:cs="Times New Roman"/>
          <w:i/>
          <w:iCs/>
          <w:szCs w:val="24"/>
        </w:rPr>
        <w:t>South Frontenac</w:t>
      </w:r>
      <w:r w:rsidRPr="0061021D">
        <w:rPr>
          <w:rFonts w:ascii="Times New Roman" w:eastAsia="Times New Roman" w:hAnsi="Times New Roman" w:cs="Times New Roman"/>
          <w:szCs w:val="24"/>
        </w:rPr>
        <w:t xml:space="preserve">. The applicant owned a legally nonconforming cottage located within the </w:t>
      </w:r>
      <w:proofErr w:type="gramStart"/>
      <w:r w:rsidRPr="0061021D">
        <w:rPr>
          <w:rFonts w:ascii="Times New Roman" w:eastAsia="Times New Roman" w:hAnsi="Times New Roman" w:cs="Times New Roman"/>
          <w:szCs w:val="24"/>
        </w:rPr>
        <w:t xml:space="preserve">30 </w:t>
      </w:r>
      <w:proofErr w:type="spellStart"/>
      <w:r w:rsidRPr="0061021D">
        <w:rPr>
          <w:rFonts w:ascii="Times New Roman" w:eastAsia="Times New Roman" w:hAnsi="Times New Roman" w:cs="Times New Roman"/>
          <w:szCs w:val="24"/>
        </w:rPr>
        <w:t>metre</w:t>
      </w:r>
      <w:proofErr w:type="spellEnd"/>
      <w:proofErr w:type="gramEnd"/>
      <w:r w:rsidRPr="0061021D">
        <w:rPr>
          <w:rFonts w:ascii="Times New Roman" w:eastAsia="Times New Roman" w:hAnsi="Times New Roman" w:cs="Times New Roman"/>
          <w:szCs w:val="24"/>
        </w:rPr>
        <w:t xml:space="preserve"> waterfront setback mandated by the Township's zoning by-law. He proposed to demolish the existing cottage, and to replace it with a somewhat larger dwelling on essentially the same footprint, within much of the new square footage to be added on a second floor.</w:t>
      </w:r>
    </w:p>
    <w:p w14:paraId="4385E1C1" w14:textId="77777777" w:rsidR="0061021D" w:rsidRPr="0061021D" w:rsidRDefault="0061021D" w:rsidP="0061021D">
      <w:pPr>
        <w:spacing w:before="100" w:beforeAutospacing="1" w:after="100" w:afterAutospacing="1" w:line="240" w:lineRule="auto"/>
        <w:rPr>
          <w:rFonts w:ascii="Times New Roman" w:eastAsia="Times New Roman" w:hAnsi="Times New Roman" w:cs="Times New Roman"/>
          <w:szCs w:val="24"/>
        </w:rPr>
      </w:pPr>
      <w:r w:rsidRPr="0061021D">
        <w:rPr>
          <w:rFonts w:ascii="Times New Roman" w:eastAsia="Times New Roman" w:hAnsi="Times New Roman" w:cs="Times New Roman"/>
          <w:szCs w:val="24"/>
        </w:rPr>
        <w:t xml:space="preserve">The language of the </w:t>
      </w:r>
      <w:r w:rsidRPr="0061021D">
        <w:rPr>
          <w:rFonts w:ascii="Times New Roman" w:eastAsia="Times New Roman" w:hAnsi="Times New Roman" w:cs="Times New Roman"/>
          <w:i/>
          <w:iCs/>
          <w:szCs w:val="24"/>
        </w:rPr>
        <w:t>Planning Act</w:t>
      </w:r>
      <w:r w:rsidRPr="0061021D">
        <w:rPr>
          <w:rFonts w:ascii="Times New Roman" w:eastAsia="Times New Roman" w:hAnsi="Times New Roman" w:cs="Times New Roman"/>
          <w:szCs w:val="24"/>
        </w:rPr>
        <w:t xml:space="preserve"> makes it clear that property owners may apply to a Committee of Adjustment for permission to expand a legally nonconforming use under s. 45(2)(a)(</w:t>
      </w:r>
      <w:proofErr w:type="spellStart"/>
      <w:r w:rsidRPr="0061021D">
        <w:rPr>
          <w:rFonts w:ascii="Times New Roman" w:eastAsia="Times New Roman" w:hAnsi="Times New Roman" w:cs="Times New Roman"/>
          <w:szCs w:val="24"/>
        </w:rPr>
        <w:t>i</w:t>
      </w:r>
      <w:proofErr w:type="spellEnd"/>
      <w:r w:rsidRPr="0061021D">
        <w:rPr>
          <w:rFonts w:ascii="Times New Roman" w:eastAsia="Times New Roman" w:hAnsi="Times New Roman" w:cs="Times New Roman"/>
          <w:szCs w:val="24"/>
        </w:rPr>
        <w:t xml:space="preserve">) of the </w:t>
      </w:r>
      <w:r w:rsidRPr="0061021D">
        <w:rPr>
          <w:rFonts w:ascii="Times New Roman" w:eastAsia="Times New Roman" w:hAnsi="Times New Roman" w:cs="Times New Roman"/>
          <w:i/>
          <w:iCs/>
          <w:szCs w:val="24"/>
        </w:rPr>
        <w:t>Planning Act</w:t>
      </w:r>
      <w:r w:rsidRPr="0061021D">
        <w:rPr>
          <w:rFonts w:ascii="Times New Roman" w:eastAsia="Times New Roman" w:hAnsi="Times New Roman" w:cs="Times New Roman"/>
          <w:szCs w:val="24"/>
        </w:rPr>
        <w:t>. Notwithstanding this clear language, the Township planning staff initially insisted that the applicant instead apply for a minor variance under s. 45(1). Even after conceding its initial error during the course of the LPAT hearing, the Township took the position that an application for permission to expand under s. 45(2)(a)(</w:t>
      </w:r>
      <w:proofErr w:type="spellStart"/>
      <w:r w:rsidRPr="0061021D">
        <w:rPr>
          <w:rFonts w:ascii="Times New Roman" w:eastAsia="Times New Roman" w:hAnsi="Times New Roman" w:cs="Times New Roman"/>
          <w:szCs w:val="24"/>
        </w:rPr>
        <w:t>i</w:t>
      </w:r>
      <w:proofErr w:type="spellEnd"/>
      <w:r w:rsidRPr="0061021D">
        <w:rPr>
          <w:rFonts w:ascii="Times New Roman" w:eastAsia="Times New Roman" w:hAnsi="Times New Roman" w:cs="Times New Roman"/>
          <w:szCs w:val="24"/>
        </w:rPr>
        <w:t>) must still satisfy an analysis similar to the "four tests" required for a minor variance under s. 45(1).</w:t>
      </w:r>
    </w:p>
    <w:p w14:paraId="02327A44" w14:textId="77777777" w:rsidR="0061021D" w:rsidRPr="0061021D" w:rsidRDefault="0061021D" w:rsidP="0061021D">
      <w:pPr>
        <w:spacing w:before="100" w:beforeAutospacing="1" w:after="100" w:afterAutospacing="1" w:line="240" w:lineRule="auto"/>
        <w:rPr>
          <w:rFonts w:ascii="Times New Roman" w:eastAsia="Times New Roman" w:hAnsi="Times New Roman" w:cs="Times New Roman"/>
          <w:szCs w:val="24"/>
        </w:rPr>
      </w:pPr>
      <w:r w:rsidRPr="0061021D">
        <w:rPr>
          <w:rFonts w:ascii="Times New Roman" w:eastAsia="Times New Roman" w:hAnsi="Times New Roman" w:cs="Times New Roman"/>
          <w:szCs w:val="24"/>
        </w:rPr>
        <w:t>In particular, the Township insisted that an application under s. 45(2)(a)(ii) must demonstrate conformity with the OP. In this case, the Township's OP stated that no development within 30 meters of the shoreline would be permitted unless compliance with the setback was not a reasonable possibility due to the nature of the individual property. Accordingly, and based on Township staff's recommendation, the Committee of Adjustment refused the application for permission under s. 45(2)(a)(ii), in large part due to lack of conformity with the OP.</w:t>
      </w:r>
    </w:p>
    <w:p w14:paraId="65892B50" w14:textId="77777777" w:rsidR="0061021D" w:rsidRPr="0061021D" w:rsidRDefault="0061021D" w:rsidP="0061021D">
      <w:pPr>
        <w:spacing w:before="100" w:beforeAutospacing="1" w:after="100" w:afterAutospacing="1" w:line="240" w:lineRule="auto"/>
        <w:rPr>
          <w:rFonts w:ascii="Times New Roman" w:eastAsia="Times New Roman" w:hAnsi="Times New Roman" w:cs="Times New Roman"/>
          <w:szCs w:val="24"/>
        </w:rPr>
      </w:pPr>
      <w:r w:rsidRPr="0061021D">
        <w:rPr>
          <w:rFonts w:ascii="Times New Roman" w:eastAsia="Times New Roman" w:hAnsi="Times New Roman" w:cs="Times New Roman"/>
          <w:szCs w:val="24"/>
        </w:rPr>
        <w:t>On appeal, the LPAT first confirmed that contrary to the Township's initial position, an application under s. 45(2) is not subject to the "four tests." Rather, such applications must be evaluated on the basis of:</w:t>
      </w:r>
    </w:p>
    <w:p w14:paraId="5A4F8723" w14:textId="77777777" w:rsidR="0061021D" w:rsidRPr="0061021D" w:rsidRDefault="0061021D" w:rsidP="0061021D">
      <w:pPr>
        <w:numPr>
          <w:ilvl w:val="0"/>
          <w:numId w:val="2"/>
        </w:numPr>
        <w:spacing w:before="100" w:beforeAutospacing="1" w:after="100" w:afterAutospacing="1" w:line="240" w:lineRule="auto"/>
        <w:rPr>
          <w:rFonts w:ascii="Times New Roman" w:eastAsia="Times New Roman" w:hAnsi="Times New Roman" w:cs="Times New Roman"/>
          <w:szCs w:val="24"/>
        </w:rPr>
      </w:pPr>
      <w:r w:rsidRPr="0061021D">
        <w:rPr>
          <w:rFonts w:ascii="Times New Roman" w:eastAsia="Times New Roman" w:hAnsi="Times New Roman" w:cs="Times New Roman"/>
          <w:szCs w:val="24"/>
        </w:rPr>
        <w:t>whether the application is desirable for appropriate development of the subject property; and</w:t>
      </w:r>
    </w:p>
    <w:p w14:paraId="380029D9" w14:textId="77777777" w:rsidR="0061021D" w:rsidRPr="0061021D" w:rsidRDefault="0061021D" w:rsidP="0061021D">
      <w:pPr>
        <w:numPr>
          <w:ilvl w:val="0"/>
          <w:numId w:val="2"/>
        </w:numPr>
        <w:spacing w:before="100" w:beforeAutospacing="1" w:after="100" w:afterAutospacing="1" w:line="240" w:lineRule="auto"/>
        <w:rPr>
          <w:rFonts w:ascii="Times New Roman" w:eastAsia="Times New Roman" w:hAnsi="Times New Roman" w:cs="Times New Roman"/>
          <w:szCs w:val="24"/>
        </w:rPr>
      </w:pPr>
      <w:r w:rsidRPr="0061021D">
        <w:rPr>
          <w:rFonts w:ascii="Times New Roman" w:eastAsia="Times New Roman" w:hAnsi="Times New Roman" w:cs="Times New Roman"/>
          <w:szCs w:val="24"/>
        </w:rPr>
        <w:lastRenderedPageBreak/>
        <w:t xml:space="preserve">whether the application will result in undue adverse impacts on the surrounding properties and </w:t>
      </w:r>
      <w:proofErr w:type="spellStart"/>
      <w:r w:rsidRPr="0061021D">
        <w:rPr>
          <w:rFonts w:ascii="Times New Roman" w:eastAsia="Times New Roman" w:hAnsi="Times New Roman" w:cs="Times New Roman"/>
          <w:szCs w:val="24"/>
        </w:rPr>
        <w:t>neighbourhood</w:t>
      </w:r>
      <w:proofErr w:type="spellEnd"/>
      <w:r w:rsidRPr="0061021D">
        <w:rPr>
          <w:rFonts w:ascii="Times New Roman" w:eastAsia="Times New Roman" w:hAnsi="Times New Roman" w:cs="Times New Roman"/>
          <w:szCs w:val="24"/>
        </w:rPr>
        <w:t>.</w:t>
      </w:r>
      <w:bookmarkStart w:id="14" w:name="_ftnref15"/>
      <w:r w:rsidRPr="0061021D">
        <w:rPr>
          <w:rFonts w:ascii="Times New Roman" w:eastAsia="Times New Roman" w:hAnsi="Times New Roman" w:cs="Times New Roman"/>
          <w:szCs w:val="24"/>
          <w:vertAlign w:val="superscript"/>
        </w:rPr>
        <w:fldChar w:fldCharType="begin"/>
      </w:r>
      <w:r w:rsidRPr="0061021D">
        <w:rPr>
          <w:rFonts w:ascii="Times New Roman" w:eastAsia="Times New Roman" w:hAnsi="Times New Roman" w:cs="Times New Roman"/>
          <w:szCs w:val="24"/>
          <w:vertAlign w:val="superscript"/>
        </w:rPr>
        <w:instrText xml:space="preserve"> HYPERLINK "https://gowlingwlg.com/en/insights-resources/articles/2021/legal-nonconforming-rights-trilogy-in-ontario/" \l "_ftn15" \o "" </w:instrText>
      </w:r>
      <w:r w:rsidRPr="0061021D">
        <w:rPr>
          <w:rFonts w:ascii="Times New Roman" w:eastAsia="Times New Roman" w:hAnsi="Times New Roman" w:cs="Times New Roman"/>
          <w:szCs w:val="24"/>
          <w:vertAlign w:val="superscript"/>
        </w:rPr>
        <w:fldChar w:fldCharType="separate"/>
      </w:r>
      <w:r w:rsidRPr="0061021D">
        <w:rPr>
          <w:rFonts w:ascii="Times New Roman" w:eastAsia="Times New Roman" w:hAnsi="Times New Roman" w:cs="Times New Roman"/>
          <w:color w:val="0000FF"/>
          <w:szCs w:val="24"/>
          <w:u w:val="single"/>
          <w:vertAlign w:val="superscript"/>
        </w:rPr>
        <w:t>[15]</w:t>
      </w:r>
      <w:r w:rsidRPr="0061021D">
        <w:rPr>
          <w:rFonts w:ascii="Times New Roman" w:eastAsia="Times New Roman" w:hAnsi="Times New Roman" w:cs="Times New Roman"/>
          <w:szCs w:val="24"/>
          <w:vertAlign w:val="superscript"/>
        </w:rPr>
        <w:fldChar w:fldCharType="end"/>
      </w:r>
      <w:bookmarkEnd w:id="14"/>
    </w:p>
    <w:p w14:paraId="79524564" w14:textId="77777777" w:rsidR="0061021D" w:rsidRPr="0061021D" w:rsidRDefault="0061021D" w:rsidP="0061021D">
      <w:pPr>
        <w:spacing w:before="100" w:beforeAutospacing="1" w:after="100" w:afterAutospacing="1" w:line="240" w:lineRule="auto"/>
        <w:rPr>
          <w:rFonts w:ascii="Times New Roman" w:eastAsia="Times New Roman" w:hAnsi="Times New Roman" w:cs="Times New Roman"/>
          <w:szCs w:val="24"/>
        </w:rPr>
      </w:pPr>
      <w:r w:rsidRPr="0061021D">
        <w:rPr>
          <w:rFonts w:ascii="Times New Roman" w:eastAsia="Times New Roman" w:hAnsi="Times New Roman" w:cs="Times New Roman"/>
          <w:szCs w:val="24"/>
        </w:rPr>
        <w:t>Crucially, the Tribunal agreed with the applicant that there is no basis for considering the intent and purpose of the Official Plan when considering applying this test.</w:t>
      </w:r>
      <w:bookmarkStart w:id="15" w:name="_ftnref16"/>
      <w:r w:rsidRPr="0061021D">
        <w:rPr>
          <w:rFonts w:ascii="Times New Roman" w:eastAsia="Times New Roman" w:hAnsi="Times New Roman" w:cs="Times New Roman"/>
          <w:szCs w:val="24"/>
          <w:vertAlign w:val="superscript"/>
        </w:rPr>
        <w:fldChar w:fldCharType="begin"/>
      </w:r>
      <w:r w:rsidRPr="0061021D">
        <w:rPr>
          <w:rFonts w:ascii="Times New Roman" w:eastAsia="Times New Roman" w:hAnsi="Times New Roman" w:cs="Times New Roman"/>
          <w:szCs w:val="24"/>
          <w:vertAlign w:val="superscript"/>
        </w:rPr>
        <w:instrText xml:space="preserve"> HYPERLINK "https://gowlingwlg.com/en/insights-resources/articles/2021/legal-nonconforming-rights-trilogy-in-ontario/" \l "_ftn16" \o "" </w:instrText>
      </w:r>
      <w:r w:rsidRPr="0061021D">
        <w:rPr>
          <w:rFonts w:ascii="Times New Roman" w:eastAsia="Times New Roman" w:hAnsi="Times New Roman" w:cs="Times New Roman"/>
          <w:szCs w:val="24"/>
          <w:vertAlign w:val="superscript"/>
        </w:rPr>
        <w:fldChar w:fldCharType="separate"/>
      </w:r>
      <w:r w:rsidRPr="0061021D">
        <w:rPr>
          <w:rFonts w:ascii="Times New Roman" w:eastAsia="Times New Roman" w:hAnsi="Times New Roman" w:cs="Times New Roman"/>
          <w:color w:val="0000FF"/>
          <w:szCs w:val="24"/>
          <w:u w:val="single"/>
          <w:vertAlign w:val="superscript"/>
        </w:rPr>
        <w:t>[16]</w:t>
      </w:r>
      <w:r w:rsidRPr="0061021D">
        <w:rPr>
          <w:rFonts w:ascii="Times New Roman" w:eastAsia="Times New Roman" w:hAnsi="Times New Roman" w:cs="Times New Roman"/>
          <w:szCs w:val="24"/>
          <w:vertAlign w:val="superscript"/>
        </w:rPr>
        <w:fldChar w:fldCharType="end"/>
      </w:r>
      <w:bookmarkEnd w:id="15"/>
      <w:r w:rsidRPr="0061021D">
        <w:rPr>
          <w:rFonts w:ascii="Times New Roman" w:eastAsia="Times New Roman" w:hAnsi="Times New Roman" w:cs="Times New Roman"/>
          <w:szCs w:val="24"/>
          <w:vertAlign w:val="superscript"/>
        </w:rPr>
        <w:t xml:space="preserve"> </w:t>
      </w:r>
      <w:r w:rsidRPr="0061021D">
        <w:rPr>
          <w:rFonts w:ascii="Times New Roman" w:eastAsia="Times New Roman" w:hAnsi="Times New Roman" w:cs="Times New Roman"/>
          <w:szCs w:val="24"/>
        </w:rPr>
        <w:t xml:space="preserve">The Tribunal also agreed that in light of </w:t>
      </w:r>
      <w:r w:rsidRPr="0061021D">
        <w:rPr>
          <w:rFonts w:ascii="Times New Roman" w:eastAsia="Times New Roman" w:hAnsi="Times New Roman" w:cs="Times New Roman"/>
          <w:i/>
          <w:iCs/>
          <w:szCs w:val="24"/>
        </w:rPr>
        <w:t xml:space="preserve">Saint Romuald </w:t>
      </w:r>
      <w:r w:rsidRPr="0061021D">
        <w:rPr>
          <w:rFonts w:ascii="Times New Roman" w:eastAsia="Times New Roman" w:hAnsi="Times New Roman" w:cs="Times New Roman"/>
          <w:szCs w:val="24"/>
        </w:rPr>
        <w:t>and the previous cases in the Trilogy</w:t>
      </w:r>
      <w:r w:rsidRPr="0061021D">
        <w:rPr>
          <w:rFonts w:ascii="Times New Roman" w:eastAsia="Times New Roman" w:hAnsi="Times New Roman" w:cs="Times New Roman"/>
          <w:i/>
          <w:iCs/>
          <w:szCs w:val="24"/>
        </w:rPr>
        <w:t xml:space="preserve">, </w:t>
      </w:r>
      <w:r w:rsidRPr="0061021D">
        <w:rPr>
          <w:rFonts w:ascii="Times New Roman" w:eastAsia="Times New Roman" w:hAnsi="Times New Roman" w:cs="Times New Roman"/>
          <w:szCs w:val="24"/>
        </w:rPr>
        <w:t>this analysis was subject to a number of caveats and nuances.</w:t>
      </w:r>
    </w:p>
    <w:p w14:paraId="643D0C2E" w14:textId="77777777" w:rsidR="0061021D" w:rsidRPr="0061021D" w:rsidRDefault="0061021D" w:rsidP="0061021D">
      <w:pPr>
        <w:spacing w:before="100" w:beforeAutospacing="1" w:after="100" w:afterAutospacing="1" w:line="240" w:lineRule="auto"/>
        <w:rPr>
          <w:rFonts w:ascii="Times New Roman" w:eastAsia="Times New Roman" w:hAnsi="Times New Roman" w:cs="Times New Roman"/>
          <w:szCs w:val="24"/>
        </w:rPr>
      </w:pPr>
      <w:r w:rsidRPr="0061021D">
        <w:rPr>
          <w:rFonts w:ascii="Times New Roman" w:eastAsia="Times New Roman" w:hAnsi="Times New Roman" w:cs="Times New Roman"/>
          <w:szCs w:val="24"/>
        </w:rPr>
        <w:t xml:space="preserve">To begin with, the Tribunal rejected the Township's contention that undue adverse impact should be considered for the entire structure, as opposed to only the proposed expansion. Instead, the Tribunal sided with the applicant in finding that since </w:t>
      </w:r>
      <w:r w:rsidRPr="0061021D">
        <w:rPr>
          <w:rFonts w:ascii="Times New Roman" w:eastAsia="Times New Roman" w:hAnsi="Times New Roman" w:cs="Times New Roman"/>
          <w:i/>
          <w:iCs/>
          <w:szCs w:val="24"/>
        </w:rPr>
        <w:t xml:space="preserve">TDL </w:t>
      </w:r>
      <w:r w:rsidRPr="0061021D">
        <w:rPr>
          <w:rFonts w:ascii="Times New Roman" w:eastAsia="Times New Roman" w:hAnsi="Times New Roman" w:cs="Times New Roman"/>
          <w:szCs w:val="24"/>
        </w:rPr>
        <w:t xml:space="preserve">and </w:t>
      </w:r>
      <w:r w:rsidRPr="0061021D">
        <w:rPr>
          <w:rFonts w:ascii="Times New Roman" w:eastAsia="Times New Roman" w:hAnsi="Times New Roman" w:cs="Times New Roman"/>
          <w:i/>
          <w:iCs/>
          <w:szCs w:val="24"/>
        </w:rPr>
        <w:t>South Frontenac</w:t>
      </w:r>
      <w:r w:rsidRPr="0061021D">
        <w:rPr>
          <w:rFonts w:ascii="Times New Roman" w:eastAsia="Times New Roman" w:hAnsi="Times New Roman" w:cs="Times New Roman"/>
          <w:szCs w:val="24"/>
        </w:rPr>
        <w:t xml:space="preserve"> confirmed that there is an absolute right to demolish and rebuild a legally nonconforming/noncomplying structure within the same building envelope, then the s. 45(2) test only applies to the proposed expansion. Anything within the existing nonconforming/noncomplying envelope may be reconstructed as of right, and </w:t>
      </w:r>
      <w:r w:rsidRPr="0061021D">
        <w:rPr>
          <w:rFonts w:ascii="Times New Roman" w:eastAsia="Times New Roman" w:hAnsi="Times New Roman" w:cs="Times New Roman"/>
          <w:b/>
          <w:bCs/>
          <w:szCs w:val="24"/>
        </w:rPr>
        <w:t>undue adverse impact must be determined only with respect to the proposed expansions</w:t>
      </w:r>
      <w:r w:rsidRPr="0061021D">
        <w:rPr>
          <w:rFonts w:ascii="Times New Roman" w:eastAsia="Times New Roman" w:hAnsi="Times New Roman" w:cs="Times New Roman"/>
          <w:szCs w:val="24"/>
        </w:rPr>
        <w:t xml:space="preserve"> to the existing nonconforming structure.</w:t>
      </w:r>
      <w:bookmarkStart w:id="16" w:name="_ftnref17"/>
      <w:r w:rsidRPr="0061021D">
        <w:rPr>
          <w:rFonts w:ascii="Times New Roman" w:eastAsia="Times New Roman" w:hAnsi="Times New Roman" w:cs="Times New Roman"/>
          <w:szCs w:val="24"/>
          <w:vertAlign w:val="superscript"/>
        </w:rPr>
        <w:fldChar w:fldCharType="begin"/>
      </w:r>
      <w:r w:rsidRPr="0061021D">
        <w:rPr>
          <w:rFonts w:ascii="Times New Roman" w:eastAsia="Times New Roman" w:hAnsi="Times New Roman" w:cs="Times New Roman"/>
          <w:szCs w:val="24"/>
          <w:vertAlign w:val="superscript"/>
        </w:rPr>
        <w:instrText xml:space="preserve"> HYPERLINK "https://gowlingwlg.com/en/insights-resources/articles/2021/legal-nonconforming-rights-trilogy-in-ontario/" \l "_ftn17" \o "" </w:instrText>
      </w:r>
      <w:r w:rsidRPr="0061021D">
        <w:rPr>
          <w:rFonts w:ascii="Times New Roman" w:eastAsia="Times New Roman" w:hAnsi="Times New Roman" w:cs="Times New Roman"/>
          <w:szCs w:val="24"/>
          <w:vertAlign w:val="superscript"/>
        </w:rPr>
        <w:fldChar w:fldCharType="separate"/>
      </w:r>
      <w:r w:rsidRPr="0061021D">
        <w:rPr>
          <w:rFonts w:ascii="Times New Roman" w:eastAsia="Times New Roman" w:hAnsi="Times New Roman" w:cs="Times New Roman"/>
          <w:color w:val="0000FF"/>
          <w:szCs w:val="24"/>
          <w:u w:val="single"/>
          <w:vertAlign w:val="superscript"/>
        </w:rPr>
        <w:t>[17]</w:t>
      </w:r>
      <w:r w:rsidRPr="0061021D">
        <w:rPr>
          <w:rFonts w:ascii="Times New Roman" w:eastAsia="Times New Roman" w:hAnsi="Times New Roman" w:cs="Times New Roman"/>
          <w:szCs w:val="24"/>
          <w:vertAlign w:val="superscript"/>
        </w:rPr>
        <w:fldChar w:fldCharType="end"/>
      </w:r>
      <w:bookmarkEnd w:id="16"/>
    </w:p>
    <w:p w14:paraId="15092E7C" w14:textId="77777777" w:rsidR="0061021D" w:rsidRPr="0061021D" w:rsidRDefault="0061021D" w:rsidP="0061021D">
      <w:pPr>
        <w:spacing w:before="100" w:beforeAutospacing="1" w:after="100" w:afterAutospacing="1" w:line="240" w:lineRule="auto"/>
        <w:rPr>
          <w:rFonts w:ascii="Times New Roman" w:eastAsia="Times New Roman" w:hAnsi="Times New Roman" w:cs="Times New Roman"/>
          <w:szCs w:val="24"/>
        </w:rPr>
      </w:pPr>
      <w:r w:rsidRPr="0061021D">
        <w:rPr>
          <w:rFonts w:ascii="Times New Roman" w:eastAsia="Times New Roman" w:hAnsi="Times New Roman" w:cs="Times New Roman"/>
          <w:szCs w:val="24"/>
        </w:rPr>
        <w:t xml:space="preserve">Furthermore, the Tribunal found that any purported undue adverse impacts of an expansion must be demonstrated by objective evidence, </w:t>
      </w:r>
      <w:r w:rsidRPr="0061021D">
        <w:rPr>
          <w:rFonts w:ascii="Times New Roman" w:eastAsia="Times New Roman" w:hAnsi="Times New Roman" w:cs="Times New Roman"/>
          <w:b/>
          <w:bCs/>
          <w:szCs w:val="24"/>
        </w:rPr>
        <w:t>and</w:t>
      </w:r>
      <w:r w:rsidRPr="0061021D">
        <w:rPr>
          <w:rFonts w:ascii="Times New Roman" w:eastAsia="Times New Roman" w:hAnsi="Times New Roman" w:cs="Times New Roman"/>
          <w:szCs w:val="24"/>
        </w:rPr>
        <w:t xml:space="preserve"> such evidence must be capable of overriding a property owner's right to reasonable evolution of their nonconforming/noncomplying building, as recognized in </w:t>
      </w:r>
      <w:r w:rsidRPr="0061021D">
        <w:rPr>
          <w:rFonts w:ascii="Times New Roman" w:eastAsia="Times New Roman" w:hAnsi="Times New Roman" w:cs="Times New Roman"/>
          <w:i/>
          <w:iCs/>
          <w:szCs w:val="24"/>
        </w:rPr>
        <w:t>Saint Romuald</w:t>
      </w:r>
      <w:r w:rsidRPr="0061021D">
        <w:rPr>
          <w:rFonts w:ascii="Times New Roman" w:eastAsia="Times New Roman" w:hAnsi="Times New Roman" w:cs="Times New Roman"/>
          <w:szCs w:val="24"/>
        </w:rPr>
        <w:t xml:space="preserve">. Moreover, planning instruments cannot impose criteria for expansion so rigorous that they in effect prohibit any expansion or evolution of </w:t>
      </w:r>
      <w:proofErr w:type="spellStart"/>
      <w:r w:rsidRPr="0061021D">
        <w:rPr>
          <w:rFonts w:ascii="Times New Roman" w:eastAsia="Times New Roman" w:hAnsi="Times New Roman" w:cs="Times New Roman"/>
          <w:szCs w:val="24"/>
        </w:rPr>
        <w:t>nonconfoming</w:t>
      </w:r>
      <w:proofErr w:type="spellEnd"/>
      <w:r w:rsidRPr="0061021D">
        <w:rPr>
          <w:rFonts w:ascii="Times New Roman" w:eastAsia="Times New Roman" w:hAnsi="Times New Roman" w:cs="Times New Roman"/>
          <w:szCs w:val="24"/>
        </w:rPr>
        <w:t>/noncomplying rights:</w:t>
      </w:r>
    </w:p>
    <w:p w14:paraId="1C49027F" w14:textId="77777777" w:rsidR="0061021D" w:rsidRPr="0061021D" w:rsidRDefault="0061021D" w:rsidP="0061021D">
      <w:pPr>
        <w:spacing w:before="100" w:beforeAutospacing="1" w:after="100" w:afterAutospacing="1" w:line="240" w:lineRule="auto"/>
        <w:ind w:left="720"/>
        <w:rPr>
          <w:rFonts w:ascii="Times New Roman" w:eastAsia="Times New Roman" w:hAnsi="Times New Roman" w:cs="Times New Roman"/>
          <w:szCs w:val="24"/>
        </w:rPr>
      </w:pPr>
      <w:r w:rsidRPr="0061021D">
        <w:rPr>
          <w:rFonts w:ascii="Times New Roman" w:eastAsia="Times New Roman" w:hAnsi="Times New Roman" w:cs="Times New Roman"/>
          <w:szCs w:val="24"/>
        </w:rPr>
        <w:t>to the extent that a planning instrument, including an Official Plan, seeks to impose criteria for expansion of nonconforming uses that are so stringent as to not allow for the type of balancing required by Saint-Romuald,</w:t>
      </w:r>
      <w:r w:rsidRPr="0061021D">
        <w:rPr>
          <w:rFonts w:ascii="Times New Roman" w:eastAsia="Times New Roman" w:hAnsi="Times New Roman" w:cs="Times New Roman"/>
          <w:i/>
          <w:iCs/>
          <w:szCs w:val="24"/>
        </w:rPr>
        <w:t xml:space="preserve"> </w:t>
      </w:r>
      <w:r w:rsidRPr="0061021D">
        <w:rPr>
          <w:rFonts w:ascii="Times New Roman" w:eastAsia="Times New Roman" w:hAnsi="Times New Roman" w:cs="Times New Roman"/>
          <w:szCs w:val="24"/>
        </w:rPr>
        <w:t>those instruments are ultra vires</w:t>
      </w:r>
      <w:r w:rsidRPr="0061021D">
        <w:rPr>
          <w:rFonts w:ascii="Times New Roman" w:eastAsia="Times New Roman" w:hAnsi="Times New Roman" w:cs="Times New Roman"/>
          <w:i/>
          <w:iCs/>
          <w:szCs w:val="24"/>
        </w:rPr>
        <w:t xml:space="preserve"> </w:t>
      </w:r>
      <w:r w:rsidRPr="0061021D">
        <w:rPr>
          <w:rFonts w:ascii="Times New Roman" w:eastAsia="Times New Roman" w:hAnsi="Times New Roman" w:cs="Times New Roman"/>
          <w:szCs w:val="24"/>
        </w:rPr>
        <w:t>and should be given no force and effect.</w:t>
      </w:r>
      <w:bookmarkStart w:id="17" w:name="_ftnref18"/>
      <w:r w:rsidRPr="0061021D">
        <w:rPr>
          <w:rFonts w:ascii="Times New Roman" w:eastAsia="Times New Roman" w:hAnsi="Times New Roman" w:cs="Times New Roman"/>
          <w:szCs w:val="24"/>
          <w:vertAlign w:val="superscript"/>
        </w:rPr>
        <w:fldChar w:fldCharType="begin"/>
      </w:r>
      <w:r w:rsidRPr="0061021D">
        <w:rPr>
          <w:rFonts w:ascii="Times New Roman" w:eastAsia="Times New Roman" w:hAnsi="Times New Roman" w:cs="Times New Roman"/>
          <w:szCs w:val="24"/>
          <w:vertAlign w:val="superscript"/>
        </w:rPr>
        <w:instrText xml:space="preserve"> HYPERLINK "https://gowlingwlg.com/en/insights-resources/articles/2021/legal-nonconforming-rights-trilogy-in-ontario/" \l "_ftn18" \o "" </w:instrText>
      </w:r>
      <w:r w:rsidRPr="0061021D">
        <w:rPr>
          <w:rFonts w:ascii="Times New Roman" w:eastAsia="Times New Roman" w:hAnsi="Times New Roman" w:cs="Times New Roman"/>
          <w:szCs w:val="24"/>
          <w:vertAlign w:val="superscript"/>
        </w:rPr>
        <w:fldChar w:fldCharType="separate"/>
      </w:r>
      <w:r w:rsidRPr="0061021D">
        <w:rPr>
          <w:rFonts w:ascii="Times New Roman" w:eastAsia="Times New Roman" w:hAnsi="Times New Roman" w:cs="Times New Roman"/>
          <w:color w:val="0000FF"/>
          <w:szCs w:val="24"/>
          <w:u w:val="single"/>
          <w:vertAlign w:val="superscript"/>
        </w:rPr>
        <w:t>[18]</w:t>
      </w:r>
      <w:r w:rsidRPr="0061021D">
        <w:rPr>
          <w:rFonts w:ascii="Times New Roman" w:eastAsia="Times New Roman" w:hAnsi="Times New Roman" w:cs="Times New Roman"/>
          <w:szCs w:val="24"/>
          <w:vertAlign w:val="superscript"/>
        </w:rPr>
        <w:fldChar w:fldCharType="end"/>
      </w:r>
      <w:bookmarkEnd w:id="17"/>
    </w:p>
    <w:p w14:paraId="37F18580" w14:textId="77777777" w:rsidR="0061021D" w:rsidRPr="0061021D" w:rsidRDefault="0061021D" w:rsidP="0061021D">
      <w:pPr>
        <w:spacing w:before="100" w:beforeAutospacing="1" w:after="100" w:afterAutospacing="1" w:line="240" w:lineRule="auto"/>
        <w:rPr>
          <w:rFonts w:ascii="Times New Roman" w:eastAsia="Times New Roman" w:hAnsi="Times New Roman" w:cs="Times New Roman"/>
          <w:szCs w:val="24"/>
        </w:rPr>
      </w:pPr>
      <w:r w:rsidRPr="0061021D">
        <w:rPr>
          <w:rFonts w:ascii="Times New Roman" w:eastAsia="Times New Roman" w:hAnsi="Times New Roman" w:cs="Times New Roman"/>
          <w:szCs w:val="24"/>
        </w:rPr>
        <w:t xml:space="preserve">In this case, the Township's OP did not permit this reasonable evolution, instead seeking to bar any expansion of legally nonconforming structures located within the </w:t>
      </w:r>
      <w:proofErr w:type="gramStart"/>
      <w:r w:rsidRPr="0061021D">
        <w:rPr>
          <w:rFonts w:ascii="Times New Roman" w:eastAsia="Times New Roman" w:hAnsi="Times New Roman" w:cs="Times New Roman"/>
          <w:szCs w:val="24"/>
        </w:rPr>
        <w:t xml:space="preserve">30 </w:t>
      </w:r>
      <w:proofErr w:type="spellStart"/>
      <w:r w:rsidRPr="0061021D">
        <w:rPr>
          <w:rFonts w:ascii="Times New Roman" w:eastAsia="Times New Roman" w:hAnsi="Times New Roman" w:cs="Times New Roman"/>
          <w:szCs w:val="24"/>
        </w:rPr>
        <w:t>metre</w:t>
      </w:r>
      <w:proofErr w:type="spellEnd"/>
      <w:proofErr w:type="gramEnd"/>
      <w:r w:rsidRPr="0061021D">
        <w:rPr>
          <w:rFonts w:ascii="Times New Roman" w:eastAsia="Times New Roman" w:hAnsi="Times New Roman" w:cs="Times New Roman"/>
          <w:szCs w:val="24"/>
        </w:rPr>
        <w:t xml:space="preserve"> shoreline setback, unless development in an alternative location was impossible. The Tribunal agreed with the applicant that in light of </w:t>
      </w:r>
      <w:r w:rsidRPr="0061021D">
        <w:rPr>
          <w:rFonts w:ascii="Times New Roman" w:eastAsia="Times New Roman" w:hAnsi="Times New Roman" w:cs="Times New Roman"/>
          <w:i/>
          <w:iCs/>
          <w:szCs w:val="24"/>
        </w:rPr>
        <w:t>TDL</w:t>
      </w:r>
      <w:r w:rsidRPr="0061021D">
        <w:rPr>
          <w:rFonts w:ascii="Times New Roman" w:eastAsia="Times New Roman" w:hAnsi="Times New Roman" w:cs="Times New Roman"/>
          <w:szCs w:val="24"/>
        </w:rPr>
        <w:t xml:space="preserve"> and </w:t>
      </w:r>
      <w:r w:rsidRPr="0061021D">
        <w:rPr>
          <w:rFonts w:ascii="Times New Roman" w:eastAsia="Times New Roman" w:hAnsi="Times New Roman" w:cs="Times New Roman"/>
          <w:i/>
          <w:iCs/>
          <w:szCs w:val="24"/>
        </w:rPr>
        <w:t>South Frontenac</w:t>
      </w:r>
      <w:r w:rsidRPr="0061021D">
        <w:rPr>
          <w:rFonts w:ascii="Times New Roman" w:eastAsia="Times New Roman" w:hAnsi="Times New Roman" w:cs="Times New Roman"/>
          <w:szCs w:val="24"/>
        </w:rPr>
        <w:t>,</w:t>
      </w:r>
      <w:r w:rsidRPr="0061021D">
        <w:rPr>
          <w:rFonts w:ascii="Times New Roman" w:eastAsia="Times New Roman" w:hAnsi="Times New Roman" w:cs="Times New Roman"/>
          <w:i/>
          <w:iCs/>
          <w:szCs w:val="24"/>
        </w:rPr>
        <w:t xml:space="preserve"> </w:t>
      </w:r>
      <w:r w:rsidRPr="0061021D">
        <w:rPr>
          <w:rFonts w:ascii="Times New Roman" w:eastAsia="Times New Roman" w:hAnsi="Times New Roman" w:cs="Times New Roman"/>
          <w:szCs w:val="24"/>
        </w:rPr>
        <w:t xml:space="preserve">such policies were </w:t>
      </w:r>
      <w:r w:rsidRPr="0061021D">
        <w:rPr>
          <w:rFonts w:ascii="Times New Roman" w:eastAsia="Times New Roman" w:hAnsi="Times New Roman" w:cs="Times New Roman"/>
          <w:i/>
          <w:iCs/>
          <w:szCs w:val="24"/>
        </w:rPr>
        <w:t>ultra vires</w:t>
      </w:r>
      <w:r w:rsidRPr="0061021D">
        <w:rPr>
          <w:rFonts w:ascii="Times New Roman" w:eastAsia="Times New Roman" w:hAnsi="Times New Roman" w:cs="Times New Roman"/>
          <w:szCs w:val="24"/>
        </w:rPr>
        <w:t>. In any event, the applicant was not required to demonstrate conformity with the intent and purpose of the OP when applying for permission under s.45(2).</w:t>
      </w:r>
    </w:p>
    <w:p w14:paraId="479B3E4A" w14:textId="77777777" w:rsidR="0061021D" w:rsidRPr="0061021D" w:rsidRDefault="0061021D" w:rsidP="0061021D">
      <w:pPr>
        <w:spacing w:before="100" w:beforeAutospacing="1" w:after="100" w:afterAutospacing="1" w:line="240" w:lineRule="auto"/>
        <w:rPr>
          <w:rFonts w:ascii="Times New Roman" w:eastAsia="Times New Roman" w:hAnsi="Times New Roman" w:cs="Times New Roman"/>
          <w:szCs w:val="24"/>
        </w:rPr>
      </w:pPr>
      <w:r w:rsidRPr="0061021D">
        <w:rPr>
          <w:rFonts w:ascii="Times New Roman" w:eastAsia="Times New Roman" w:hAnsi="Times New Roman" w:cs="Times New Roman"/>
          <w:szCs w:val="24"/>
        </w:rPr>
        <w:t>Finally, in a comment with implications beyond simply applications to reconstruct or expand legally nonconforming/noncomplying buildings, the Tribunal emphasized that: "there is no basis in law to justify refusing the Application simply because the possibility of a hypothetical alternative for development may exist."</w:t>
      </w:r>
      <w:bookmarkStart w:id="18" w:name="_ftnref19"/>
      <w:r w:rsidRPr="0061021D">
        <w:rPr>
          <w:rFonts w:ascii="Times New Roman" w:eastAsia="Times New Roman" w:hAnsi="Times New Roman" w:cs="Times New Roman"/>
          <w:szCs w:val="24"/>
          <w:vertAlign w:val="superscript"/>
        </w:rPr>
        <w:fldChar w:fldCharType="begin"/>
      </w:r>
      <w:r w:rsidRPr="0061021D">
        <w:rPr>
          <w:rFonts w:ascii="Times New Roman" w:eastAsia="Times New Roman" w:hAnsi="Times New Roman" w:cs="Times New Roman"/>
          <w:szCs w:val="24"/>
          <w:vertAlign w:val="superscript"/>
        </w:rPr>
        <w:instrText xml:space="preserve"> HYPERLINK "https://gowlingwlg.com/en/insights-resources/articles/2021/legal-nonconforming-rights-trilogy-in-ontario/" \l "_ftn19" \o "" </w:instrText>
      </w:r>
      <w:r w:rsidRPr="0061021D">
        <w:rPr>
          <w:rFonts w:ascii="Times New Roman" w:eastAsia="Times New Roman" w:hAnsi="Times New Roman" w:cs="Times New Roman"/>
          <w:szCs w:val="24"/>
          <w:vertAlign w:val="superscript"/>
        </w:rPr>
        <w:fldChar w:fldCharType="separate"/>
      </w:r>
      <w:r w:rsidRPr="0061021D">
        <w:rPr>
          <w:rFonts w:ascii="Times New Roman" w:eastAsia="Times New Roman" w:hAnsi="Times New Roman" w:cs="Times New Roman"/>
          <w:color w:val="0000FF"/>
          <w:szCs w:val="24"/>
          <w:u w:val="single"/>
          <w:vertAlign w:val="superscript"/>
        </w:rPr>
        <w:t>[19]</w:t>
      </w:r>
      <w:r w:rsidRPr="0061021D">
        <w:rPr>
          <w:rFonts w:ascii="Times New Roman" w:eastAsia="Times New Roman" w:hAnsi="Times New Roman" w:cs="Times New Roman"/>
          <w:szCs w:val="24"/>
          <w:vertAlign w:val="superscript"/>
        </w:rPr>
        <w:fldChar w:fldCharType="end"/>
      </w:r>
      <w:bookmarkEnd w:id="18"/>
    </w:p>
    <w:p w14:paraId="29B17EF7" w14:textId="77777777" w:rsidR="0061021D" w:rsidRPr="0061021D" w:rsidRDefault="0061021D" w:rsidP="0061021D">
      <w:pPr>
        <w:spacing w:before="100" w:beforeAutospacing="1" w:after="100" w:afterAutospacing="1" w:line="240" w:lineRule="auto"/>
        <w:outlineLvl w:val="1"/>
        <w:rPr>
          <w:rFonts w:ascii="Times New Roman" w:eastAsia="Times New Roman" w:hAnsi="Times New Roman" w:cs="Times New Roman"/>
          <w:b/>
          <w:bCs/>
          <w:sz w:val="36"/>
          <w:szCs w:val="36"/>
        </w:rPr>
      </w:pPr>
      <w:r w:rsidRPr="0061021D">
        <w:rPr>
          <w:rFonts w:ascii="Times New Roman" w:eastAsia="Times New Roman" w:hAnsi="Times New Roman" w:cs="Times New Roman"/>
          <w:b/>
          <w:bCs/>
          <w:sz w:val="36"/>
          <w:szCs w:val="36"/>
        </w:rPr>
        <w:t>Conclusion</w:t>
      </w:r>
    </w:p>
    <w:p w14:paraId="19609AA8" w14:textId="77777777" w:rsidR="0061021D" w:rsidRPr="0061021D" w:rsidRDefault="0061021D" w:rsidP="0061021D">
      <w:pPr>
        <w:spacing w:before="100" w:beforeAutospacing="1" w:after="100" w:afterAutospacing="1" w:line="240" w:lineRule="auto"/>
        <w:rPr>
          <w:rFonts w:ascii="Times New Roman" w:eastAsia="Times New Roman" w:hAnsi="Times New Roman" w:cs="Times New Roman"/>
          <w:szCs w:val="24"/>
        </w:rPr>
      </w:pPr>
      <w:r w:rsidRPr="0061021D">
        <w:rPr>
          <w:rFonts w:ascii="Times New Roman" w:eastAsia="Times New Roman" w:hAnsi="Times New Roman" w:cs="Times New Roman"/>
          <w:szCs w:val="24"/>
        </w:rPr>
        <w:t xml:space="preserve">Taken together, </w:t>
      </w:r>
      <w:r w:rsidRPr="0061021D">
        <w:rPr>
          <w:rFonts w:ascii="Times New Roman" w:eastAsia="Times New Roman" w:hAnsi="Times New Roman" w:cs="Times New Roman"/>
          <w:i/>
          <w:iCs/>
          <w:szCs w:val="24"/>
        </w:rPr>
        <w:t>TDL</w:t>
      </w:r>
      <w:r w:rsidRPr="0061021D">
        <w:rPr>
          <w:rFonts w:ascii="Times New Roman" w:eastAsia="Times New Roman" w:hAnsi="Times New Roman" w:cs="Times New Roman"/>
          <w:szCs w:val="24"/>
        </w:rPr>
        <w:t xml:space="preserve">, </w:t>
      </w:r>
      <w:r w:rsidRPr="0061021D">
        <w:rPr>
          <w:rFonts w:ascii="Times New Roman" w:eastAsia="Times New Roman" w:hAnsi="Times New Roman" w:cs="Times New Roman"/>
          <w:i/>
          <w:iCs/>
          <w:szCs w:val="24"/>
        </w:rPr>
        <w:t>South Frontenac</w:t>
      </w:r>
      <w:r w:rsidRPr="0061021D">
        <w:rPr>
          <w:rFonts w:ascii="Times New Roman" w:eastAsia="Times New Roman" w:hAnsi="Times New Roman" w:cs="Times New Roman"/>
          <w:szCs w:val="24"/>
        </w:rPr>
        <w:t xml:space="preserve"> and </w:t>
      </w:r>
      <w:r w:rsidRPr="0061021D">
        <w:rPr>
          <w:rFonts w:ascii="Times New Roman" w:eastAsia="Times New Roman" w:hAnsi="Times New Roman" w:cs="Times New Roman"/>
          <w:i/>
          <w:iCs/>
          <w:szCs w:val="24"/>
        </w:rPr>
        <w:t>Fraser</w:t>
      </w:r>
      <w:r w:rsidRPr="0061021D">
        <w:rPr>
          <w:rFonts w:ascii="Times New Roman" w:eastAsia="Times New Roman" w:hAnsi="Times New Roman" w:cs="Times New Roman"/>
          <w:szCs w:val="24"/>
        </w:rPr>
        <w:t xml:space="preserve"> have applied the principles set out in </w:t>
      </w:r>
      <w:r w:rsidRPr="0061021D">
        <w:rPr>
          <w:rFonts w:ascii="Times New Roman" w:eastAsia="Times New Roman" w:hAnsi="Times New Roman" w:cs="Times New Roman"/>
          <w:i/>
          <w:iCs/>
          <w:szCs w:val="24"/>
        </w:rPr>
        <w:t>Saint Romuald</w:t>
      </w:r>
      <w:r w:rsidRPr="0061021D">
        <w:rPr>
          <w:rFonts w:ascii="Times New Roman" w:eastAsia="Times New Roman" w:hAnsi="Times New Roman" w:cs="Times New Roman"/>
          <w:szCs w:val="24"/>
        </w:rPr>
        <w:t xml:space="preserve"> and other decisions to Ontario land use planning law, bringing much-needed clarity to </w:t>
      </w:r>
      <w:r w:rsidRPr="0061021D">
        <w:rPr>
          <w:rFonts w:ascii="Times New Roman" w:eastAsia="Times New Roman" w:hAnsi="Times New Roman" w:cs="Times New Roman"/>
          <w:szCs w:val="24"/>
        </w:rPr>
        <w:lastRenderedPageBreak/>
        <w:t xml:space="preserve">an </w:t>
      </w:r>
      <w:proofErr w:type="gramStart"/>
      <w:r w:rsidRPr="0061021D">
        <w:rPr>
          <w:rFonts w:ascii="Times New Roman" w:eastAsia="Times New Roman" w:hAnsi="Times New Roman" w:cs="Times New Roman"/>
          <w:szCs w:val="24"/>
        </w:rPr>
        <w:t>often murky</w:t>
      </w:r>
      <w:proofErr w:type="gramEnd"/>
      <w:r w:rsidRPr="0061021D">
        <w:rPr>
          <w:rFonts w:ascii="Times New Roman" w:eastAsia="Times New Roman" w:hAnsi="Times New Roman" w:cs="Times New Roman"/>
          <w:szCs w:val="24"/>
        </w:rPr>
        <w:t xml:space="preserve"> area of law. These cases have established a number of concrete principles that constitute essential protections for property owners:</w:t>
      </w:r>
    </w:p>
    <w:p w14:paraId="2A19D91A" w14:textId="77777777" w:rsidR="0061021D" w:rsidRPr="0061021D" w:rsidRDefault="0061021D" w:rsidP="0061021D">
      <w:pPr>
        <w:numPr>
          <w:ilvl w:val="0"/>
          <w:numId w:val="3"/>
        </w:numPr>
        <w:spacing w:before="100" w:beforeAutospacing="1" w:after="100" w:afterAutospacing="1" w:line="240" w:lineRule="auto"/>
        <w:rPr>
          <w:rFonts w:ascii="Times New Roman" w:eastAsia="Times New Roman" w:hAnsi="Times New Roman" w:cs="Times New Roman"/>
          <w:szCs w:val="24"/>
        </w:rPr>
      </w:pPr>
      <w:r w:rsidRPr="0061021D">
        <w:rPr>
          <w:rFonts w:ascii="Times New Roman" w:eastAsia="Times New Roman" w:hAnsi="Times New Roman" w:cs="Times New Roman"/>
          <w:szCs w:val="24"/>
        </w:rPr>
        <w:t xml:space="preserve">There is no basis for distinguishing at law between nonconforming land, buildings or structures (where the use is no longer permitted) and noncomplying land, buildings or structures (where the performance standards are no longer met). Both are equally protected under s. 34(9) of the </w:t>
      </w:r>
      <w:r w:rsidRPr="0061021D">
        <w:rPr>
          <w:rFonts w:ascii="Times New Roman" w:eastAsia="Times New Roman" w:hAnsi="Times New Roman" w:cs="Times New Roman"/>
          <w:i/>
          <w:iCs/>
          <w:szCs w:val="24"/>
        </w:rPr>
        <w:t>Planning Act</w:t>
      </w:r>
      <w:r w:rsidRPr="0061021D">
        <w:rPr>
          <w:rFonts w:ascii="Times New Roman" w:eastAsia="Times New Roman" w:hAnsi="Times New Roman" w:cs="Times New Roman"/>
          <w:szCs w:val="24"/>
        </w:rPr>
        <w:t xml:space="preserve"> and the common law;</w:t>
      </w:r>
    </w:p>
    <w:p w14:paraId="3CAA8B85" w14:textId="77777777" w:rsidR="0061021D" w:rsidRPr="0061021D" w:rsidRDefault="0061021D" w:rsidP="0061021D">
      <w:pPr>
        <w:numPr>
          <w:ilvl w:val="0"/>
          <w:numId w:val="3"/>
        </w:numPr>
        <w:spacing w:before="100" w:beforeAutospacing="1" w:after="100" w:afterAutospacing="1" w:line="240" w:lineRule="auto"/>
        <w:rPr>
          <w:rFonts w:ascii="Times New Roman" w:eastAsia="Times New Roman" w:hAnsi="Times New Roman" w:cs="Times New Roman"/>
          <w:szCs w:val="24"/>
        </w:rPr>
      </w:pPr>
      <w:r w:rsidRPr="0061021D">
        <w:rPr>
          <w:rFonts w:ascii="Times New Roman" w:eastAsia="Times New Roman" w:hAnsi="Times New Roman" w:cs="Times New Roman"/>
          <w:szCs w:val="24"/>
        </w:rPr>
        <w:t xml:space="preserve">Property owners have an absolute right to demolish and rebuild legally nonconforming/noncomplying structures within the same building envelope. Any planning instrument that seeks to prohibit such a right is </w:t>
      </w:r>
      <w:r w:rsidRPr="0061021D">
        <w:rPr>
          <w:rFonts w:ascii="Times New Roman" w:eastAsia="Times New Roman" w:hAnsi="Times New Roman" w:cs="Times New Roman"/>
          <w:i/>
          <w:iCs/>
          <w:szCs w:val="24"/>
        </w:rPr>
        <w:t>ultra vires</w:t>
      </w:r>
      <w:r w:rsidRPr="0061021D">
        <w:rPr>
          <w:rFonts w:ascii="Times New Roman" w:eastAsia="Times New Roman" w:hAnsi="Times New Roman" w:cs="Times New Roman"/>
          <w:szCs w:val="24"/>
        </w:rPr>
        <w:t>;</w:t>
      </w:r>
    </w:p>
    <w:p w14:paraId="75B73552" w14:textId="77777777" w:rsidR="0061021D" w:rsidRPr="0061021D" w:rsidRDefault="0061021D" w:rsidP="0061021D">
      <w:pPr>
        <w:numPr>
          <w:ilvl w:val="0"/>
          <w:numId w:val="3"/>
        </w:numPr>
        <w:spacing w:before="100" w:beforeAutospacing="1" w:after="100" w:afterAutospacing="1" w:line="240" w:lineRule="auto"/>
        <w:rPr>
          <w:rFonts w:ascii="Times New Roman" w:eastAsia="Times New Roman" w:hAnsi="Times New Roman" w:cs="Times New Roman"/>
          <w:szCs w:val="24"/>
        </w:rPr>
      </w:pPr>
      <w:r w:rsidRPr="0061021D">
        <w:rPr>
          <w:rFonts w:ascii="Times New Roman" w:eastAsia="Times New Roman" w:hAnsi="Times New Roman" w:cs="Times New Roman"/>
          <w:szCs w:val="24"/>
        </w:rPr>
        <w:t xml:space="preserve">The right to rebuild a demolished or destroyed legally nonconforming/ noncomplying structure is not subject to a strict time limit, so long as the owner evidences an intention to continue the use. Any planning instrument that imposes a strict time limit (particularly a short one) is </w:t>
      </w:r>
      <w:r w:rsidRPr="0061021D">
        <w:rPr>
          <w:rFonts w:ascii="Times New Roman" w:eastAsia="Times New Roman" w:hAnsi="Times New Roman" w:cs="Times New Roman"/>
          <w:i/>
          <w:iCs/>
          <w:szCs w:val="24"/>
        </w:rPr>
        <w:t>ultra vires</w:t>
      </w:r>
      <w:r w:rsidRPr="0061021D">
        <w:rPr>
          <w:rFonts w:ascii="Times New Roman" w:eastAsia="Times New Roman" w:hAnsi="Times New Roman" w:cs="Times New Roman"/>
          <w:szCs w:val="24"/>
        </w:rPr>
        <w:t>;</w:t>
      </w:r>
    </w:p>
    <w:p w14:paraId="108579FC" w14:textId="77777777" w:rsidR="0061021D" w:rsidRPr="0061021D" w:rsidRDefault="0061021D" w:rsidP="0061021D">
      <w:pPr>
        <w:numPr>
          <w:ilvl w:val="0"/>
          <w:numId w:val="3"/>
        </w:numPr>
        <w:spacing w:before="100" w:beforeAutospacing="1" w:after="100" w:afterAutospacing="1" w:line="240" w:lineRule="auto"/>
        <w:rPr>
          <w:rFonts w:ascii="Times New Roman" w:eastAsia="Times New Roman" w:hAnsi="Times New Roman" w:cs="Times New Roman"/>
          <w:szCs w:val="24"/>
        </w:rPr>
      </w:pPr>
      <w:r w:rsidRPr="0061021D">
        <w:rPr>
          <w:rFonts w:ascii="Times New Roman" w:eastAsia="Times New Roman" w:hAnsi="Times New Roman" w:cs="Times New Roman"/>
          <w:szCs w:val="24"/>
        </w:rPr>
        <w:t xml:space="preserve">Property owners have a right to reasonable flexibility, evolution, and expansion of legally nonconforming/ noncomplying uses, land, building and structures, provided the evolution or expansion does not cause undue adverse impacts on the surrounding </w:t>
      </w:r>
      <w:proofErr w:type="spellStart"/>
      <w:r w:rsidRPr="0061021D">
        <w:rPr>
          <w:rFonts w:ascii="Times New Roman" w:eastAsia="Times New Roman" w:hAnsi="Times New Roman" w:cs="Times New Roman"/>
          <w:szCs w:val="24"/>
        </w:rPr>
        <w:t>neighbourhood</w:t>
      </w:r>
      <w:proofErr w:type="spellEnd"/>
      <w:r w:rsidRPr="0061021D">
        <w:rPr>
          <w:rFonts w:ascii="Times New Roman" w:eastAsia="Times New Roman" w:hAnsi="Times New Roman" w:cs="Times New Roman"/>
          <w:szCs w:val="24"/>
        </w:rPr>
        <w:t xml:space="preserve">. The framework set out in </w:t>
      </w:r>
      <w:r w:rsidRPr="0061021D">
        <w:rPr>
          <w:rFonts w:ascii="Times New Roman" w:eastAsia="Times New Roman" w:hAnsi="Times New Roman" w:cs="Times New Roman"/>
          <w:i/>
          <w:iCs/>
          <w:szCs w:val="24"/>
        </w:rPr>
        <w:t>Saint Romuald</w:t>
      </w:r>
      <w:r w:rsidRPr="0061021D">
        <w:rPr>
          <w:rFonts w:ascii="Times New Roman" w:eastAsia="Times New Roman" w:hAnsi="Times New Roman" w:cs="Times New Roman"/>
          <w:szCs w:val="24"/>
        </w:rPr>
        <w:t xml:space="preserve"> governs such evolution or expansion;</w:t>
      </w:r>
    </w:p>
    <w:p w14:paraId="6BA5814D" w14:textId="77777777" w:rsidR="0061021D" w:rsidRPr="0061021D" w:rsidRDefault="0061021D" w:rsidP="0061021D">
      <w:pPr>
        <w:numPr>
          <w:ilvl w:val="0"/>
          <w:numId w:val="3"/>
        </w:numPr>
        <w:spacing w:before="100" w:beforeAutospacing="1" w:after="100" w:afterAutospacing="1" w:line="240" w:lineRule="auto"/>
        <w:rPr>
          <w:rFonts w:ascii="Times New Roman" w:eastAsia="Times New Roman" w:hAnsi="Times New Roman" w:cs="Times New Roman"/>
          <w:szCs w:val="24"/>
        </w:rPr>
      </w:pPr>
      <w:r w:rsidRPr="0061021D">
        <w:rPr>
          <w:rFonts w:ascii="Times New Roman" w:eastAsia="Times New Roman" w:hAnsi="Times New Roman" w:cs="Times New Roman"/>
          <w:szCs w:val="24"/>
        </w:rPr>
        <w:t xml:space="preserve">Applications to reconstruct and expand a legally nonconforming/ noncomplying building should be evaluated under s.45(2) of the </w:t>
      </w:r>
      <w:r w:rsidRPr="0061021D">
        <w:rPr>
          <w:rFonts w:ascii="Times New Roman" w:eastAsia="Times New Roman" w:hAnsi="Times New Roman" w:cs="Times New Roman"/>
          <w:i/>
          <w:iCs/>
          <w:szCs w:val="24"/>
        </w:rPr>
        <w:t>Planning Act</w:t>
      </w:r>
      <w:r w:rsidRPr="0061021D">
        <w:rPr>
          <w:rFonts w:ascii="Times New Roman" w:eastAsia="Times New Roman" w:hAnsi="Times New Roman" w:cs="Times New Roman"/>
          <w:szCs w:val="24"/>
        </w:rPr>
        <w:t xml:space="preserve"> as opposed to s.45(1);</w:t>
      </w:r>
    </w:p>
    <w:p w14:paraId="475E4F1F" w14:textId="77777777" w:rsidR="0061021D" w:rsidRPr="0061021D" w:rsidRDefault="0061021D" w:rsidP="0061021D">
      <w:pPr>
        <w:numPr>
          <w:ilvl w:val="0"/>
          <w:numId w:val="3"/>
        </w:numPr>
        <w:spacing w:before="100" w:beforeAutospacing="1" w:after="100" w:afterAutospacing="1" w:line="240" w:lineRule="auto"/>
        <w:rPr>
          <w:rFonts w:ascii="Times New Roman" w:eastAsia="Times New Roman" w:hAnsi="Times New Roman" w:cs="Times New Roman"/>
          <w:szCs w:val="24"/>
        </w:rPr>
      </w:pPr>
      <w:r w:rsidRPr="0061021D">
        <w:rPr>
          <w:rFonts w:ascii="Times New Roman" w:eastAsia="Times New Roman" w:hAnsi="Times New Roman" w:cs="Times New Roman"/>
          <w:szCs w:val="24"/>
        </w:rPr>
        <w:t xml:space="preserve">The test for an application for permission to expand under s.45(2) is: a) whether the application is desirable for appropriate development of the subject property; and b) whether the application will result in undue adverse impacts on the surrounding properties and </w:t>
      </w:r>
      <w:proofErr w:type="spellStart"/>
      <w:r w:rsidRPr="0061021D">
        <w:rPr>
          <w:rFonts w:ascii="Times New Roman" w:eastAsia="Times New Roman" w:hAnsi="Times New Roman" w:cs="Times New Roman"/>
          <w:szCs w:val="24"/>
        </w:rPr>
        <w:t>neighbourhood</w:t>
      </w:r>
      <w:proofErr w:type="spellEnd"/>
      <w:r w:rsidRPr="0061021D">
        <w:rPr>
          <w:rFonts w:ascii="Times New Roman" w:eastAsia="Times New Roman" w:hAnsi="Times New Roman" w:cs="Times New Roman"/>
          <w:szCs w:val="24"/>
        </w:rPr>
        <w:t>;</w:t>
      </w:r>
    </w:p>
    <w:p w14:paraId="080E44B0" w14:textId="77777777" w:rsidR="0061021D" w:rsidRPr="0061021D" w:rsidRDefault="0061021D" w:rsidP="0061021D">
      <w:pPr>
        <w:numPr>
          <w:ilvl w:val="0"/>
          <w:numId w:val="3"/>
        </w:numPr>
        <w:spacing w:before="100" w:beforeAutospacing="1" w:after="100" w:afterAutospacing="1" w:line="240" w:lineRule="auto"/>
        <w:rPr>
          <w:rFonts w:ascii="Times New Roman" w:eastAsia="Times New Roman" w:hAnsi="Times New Roman" w:cs="Times New Roman"/>
          <w:szCs w:val="24"/>
        </w:rPr>
      </w:pPr>
      <w:r w:rsidRPr="0061021D">
        <w:rPr>
          <w:rFonts w:ascii="Times New Roman" w:eastAsia="Times New Roman" w:hAnsi="Times New Roman" w:cs="Times New Roman"/>
          <w:szCs w:val="24"/>
        </w:rPr>
        <w:t>When applying the test under s.45(2), only the proposed expansion may be evaluated for undue adverse impacts;</w:t>
      </w:r>
    </w:p>
    <w:p w14:paraId="266DC10C" w14:textId="77777777" w:rsidR="0061021D" w:rsidRPr="0061021D" w:rsidRDefault="0061021D" w:rsidP="0061021D">
      <w:pPr>
        <w:numPr>
          <w:ilvl w:val="0"/>
          <w:numId w:val="3"/>
        </w:numPr>
        <w:spacing w:before="100" w:beforeAutospacing="1" w:after="100" w:afterAutospacing="1" w:line="240" w:lineRule="auto"/>
        <w:rPr>
          <w:rFonts w:ascii="Times New Roman" w:eastAsia="Times New Roman" w:hAnsi="Times New Roman" w:cs="Times New Roman"/>
          <w:szCs w:val="24"/>
        </w:rPr>
      </w:pPr>
      <w:r w:rsidRPr="0061021D">
        <w:rPr>
          <w:rFonts w:ascii="Times New Roman" w:eastAsia="Times New Roman" w:hAnsi="Times New Roman" w:cs="Times New Roman"/>
          <w:szCs w:val="24"/>
        </w:rPr>
        <w:t>The intent and purpose of the official plan is not a relevant consideration when applying the test under s.45(2); and,</w:t>
      </w:r>
    </w:p>
    <w:p w14:paraId="5B93AA2C" w14:textId="77777777" w:rsidR="0061021D" w:rsidRPr="0061021D" w:rsidRDefault="0061021D" w:rsidP="0061021D">
      <w:pPr>
        <w:numPr>
          <w:ilvl w:val="0"/>
          <w:numId w:val="3"/>
        </w:numPr>
        <w:spacing w:before="100" w:beforeAutospacing="1" w:after="100" w:afterAutospacing="1" w:line="240" w:lineRule="auto"/>
        <w:rPr>
          <w:rFonts w:ascii="Times New Roman" w:eastAsia="Times New Roman" w:hAnsi="Times New Roman" w:cs="Times New Roman"/>
          <w:szCs w:val="24"/>
        </w:rPr>
      </w:pPr>
      <w:r w:rsidRPr="0061021D">
        <w:rPr>
          <w:rFonts w:ascii="Times New Roman" w:eastAsia="Times New Roman" w:hAnsi="Times New Roman" w:cs="Times New Roman"/>
          <w:szCs w:val="24"/>
        </w:rPr>
        <w:t xml:space="preserve">In order to refuse the </w:t>
      </w:r>
      <w:proofErr w:type="gramStart"/>
      <w:r w:rsidRPr="0061021D">
        <w:rPr>
          <w:rFonts w:ascii="Times New Roman" w:eastAsia="Times New Roman" w:hAnsi="Times New Roman" w:cs="Times New Roman"/>
          <w:szCs w:val="24"/>
        </w:rPr>
        <w:t>application</w:t>
      </w:r>
      <w:proofErr w:type="gramEnd"/>
      <w:r w:rsidRPr="0061021D">
        <w:rPr>
          <w:rFonts w:ascii="Times New Roman" w:eastAsia="Times New Roman" w:hAnsi="Times New Roman" w:cs="Times New Roman"/>
          <w:szCs w:val="24"/>
        </w:rPr>
        <w:t xml:space="preserve"> the undue adverse impacts of the proposed expansion must be demonstrated by objective evidence, and must be sufficient to override the property owner's right to reasonable flexibility, evolution and expansion.</w:t>
      </w:r>
    </w:p>
    <w:p w14:paraId="4AF43865" w14:textId="77777777" w:rsidR="0061021D" w:rsidRPr="0061021D" w:rsidRDefault="0061021D" w:rsidP="0061021D">
      <w:pPr>
        <w:spacing w:before="100" w:beforeAutospacing="1" w:after="100" w:afterAutospacing="1" w:line="240" w:lineRule="auto"/>
        <w:rPr>
          <w:rFonts w:ascii="Times New Roman" w:eastAsia="Times New Roman" w:hAnsi="Times New Roman" w:cs="Times New Roman"/>
          <w:szCs w:val="24"/>
        </w:rPr>
      </w:pPr>
      <w:r w:rsidRPr="0061021D">
        <w:rPr>
          <w:rFonts w:ascii="Times New Roman" w:eastAsia="Times New Roman" w:hAnsi="Times New Roman" w:cs="Times New Roman"/>
          <w:szCs w:val="24"/>
        </w:rPr>
        <w:t>All of these principles significantly affect landowners' rights, and understanding of them vary from municipality to municipality. Typically, they are better understood in larger urban centers, and less so in more rural or cottage-oriented community. However, they are too often a source of consternation and misunderstanding for planners in both kinds of municipalities.</w:t>
      </w:r>
    </w:p>
    <w:p w14:paraId="16244F70" w14:textId="77777777" w:rsidR="0061021D" w:rsidRPr="0061021D" w:rsidRDefault="0061021D" w:rsidP="0061021D">
      <w:pPr>
        <w:spacing w:before="100" w:beforeAutospacing="1" w:after="100" w:afterAutospacing="1" w:line="240" w:lineRule="auto"/>
        <w:rPr>
          <w:rFonts w:ascii="Times New Roman" w:eastAsia="Times New Roman" w:hAnsi="Times New Roman" w:cs="Times New Roman"/>
          <w:szCs w:val="24"/>
        </w:rPr>
      </w:pPr>
      <w:hyperlink r:id="rId7" w:anchor="panel-button1" w:tgtFrame="_blank" w:history="1">
        <w:r w:rsidRPr="0061021D">
          <w:rPr>
            <w:rFonts w:ascii="Times New Roman" w:eastAsia="Times New Roman" w:hAnsi="Times New Roman" w:cs="Times New Roman"/>
            <w:color w:val="0000FF"/>
            <w:szCs w:val="24"/>
            <w:u w:val="single"/>
          </w:rPr>
          <w:t xml:space="preserve">Jacob </w:t>
        </w:r>
        <w:proofErr w:type="spellStart"/>
        <w:r w:rsidRPr="0061021D">
          <w:rPr>
            <w:rFonts w:ascii="Times New Roman" w:eastAsia="Times New Roman" w:hAnsi="Times New Roman" w:cs="Times New Roman"/>
            <w:color w:val="0000FF"/>
            <w:szCs w:val="24"/>
            <w:u w:val="single"/>
          </w:rPr>
          <w:t>Polowin</w:t>
        </w:r>
        <w:proofErr w:type="spellEnd"/>
      </w:hyperlink>
      <w:r w:rsidRPr="0061021D">
        <w:rPr>
          <w:rFonts w:ascii="Times New Roman" w:eastAsia="Times New Roman" w:hAnsi="Times New Roman" w:cs="Times New Roman"/>
          <w:szCs w:val="24"/>
        </w:rPr>
        <w:t xml:space="preserve"> is an associate in </w:t>
      </w:r>
      <w:proofErr w:type="spellStart"/>
      <w:r w:rsidRPr="0061021D">
        <w:rPr>
          <w:rFonts w:ascii="Times New Roman" w:eastAsia="Times New Roman" w:hAnsi="Times New Roman" w:cs="Times New Roman"/>
          <w:szCs w:val="24"/>
        </w:rPr>
        <w:t>Gowling</w:t>
      </w:r>
      <w:proofErr w:type="spellEnd"/>
      <w:r w:rsidRPr="0061021D">
        <w:rPr>
          <w:rFonts w:ascii="Times New Roman" w:eastAsia="Times New Roman" w:hAnsi="Times New Roman" w:cs="Times New Roman"/>
          <w:szCs w:val="24"/>
        </w:rPr>
        <w:t xml:space="preserve"> WLG's Municipal Law Group and </w:t>
      </w:r>
      <w:hyperlink r:id="rId8" w:anchor="panel-button1" w:tgtFrame="_blank" w:history="1">
        <w:r w:rsidRPr="0061021D">
          <w:rPr>
            <w:rFonts w:ascii="Times New Roman" w:eastAsia="Times New Roman" w:hAnsi="Times New Roman" w:cs="Times New Roman"/>
            <w:color w:val="0000FF"/>
            <w:szCs w:val="24"/>
            <w:u w:val="single"/>
          </w:rPr>
          <w:t xml:space="preserve">Michael </w:t>
        </w:r>
        <w:proofErr w:type="spellStart"/>
        <w:r w:rsidRPr="0061021D">
          <w:rPr>
            <w:rFonts w:ascii="Times New Roman" w:eastAsia="Times New Roman" w:hAnsi="Times New Roman" w:cs="Times New Roman"/>
            <w:color w:val="0000FF"/>
            <w:szCs w:val="24"/>
            <w:u w:val="single"/>
          </w:rPr>
          <w:t>Polowin</w:t>
        </w:r>
        <w:proofErr w:type="spellEnd"/>
      </w:hyperlink>
      <w:r w:rsidRPr="0061021D">
        <w:rPr>
          <w:rFonts w:ascii="Times New Roman" w:eastAsia="Times New Roman" w:hAnsi="Times New Roman" w:cs="Times New Roman"/>
          <w:szCs w:val="24"/>
        </w:rPr>
        <w:t xml:space="preserve"> is a partner and National Group Leader in </w:t>
      </w:r>
      <w:proofErr w:type="spellStart"/>
      <w:r w:rsidRPr="0061021D">
        <w:rPr>
          <w:rFonts w:ascii="Times New Roman" w:eastAsia="Times New Roman" w:hAnsi="Times New Roman" w:cs="Times New Roman"/>
          <w:szCs w:val="24"/>
        </w:rPr>
        <w:t>Gowling</w:t>
      </w:r>
      <w:proofErr w:type="spellEnd"/>
      <w:r w:rsidRPr="0061021D">
        <w:rPr>
          <w:rFonts w:ascii="Times New Roman" w:eastAsia="Times New Roman" w:hAnsi="Times New Roman" w:cs="Times New Roman"/>
          <w:szCs w:val="24"/>
        </w:rPr>
        <w:t xml:space="preserve"> WLG's Municipal Law Group. Michael was counsel on all three of the Trilogy cases; Jacob was counsel on </w:t>
      </w:r>
      <w:r w:rsidRPr="0061021D">
        <w:rPr>
          <w:rFonts w:ascii="Times New Roman" w:eastAsia="Times New Roman" w:hAnsi="Times New Roman" w:cs="Times New Roman"/>
          <w:i/>
          <w:iCs/>
          <w:szCs w:val="24"/>
        </w:rPr>
        <w:t>Brougham</w:t>
      </w:r>
      <w:r w:rsidRPr="0061021D">
        <w:rPr>
          <w:rFonts w:ascii="Times New Roman" w:eastAsia="Times New Roman" w:hAnsi="Times New Roman" w:cs="Times New Roman"/>
          <w:szCs w:val="24"/>
        </w:rPr>
        <w:t xml:space="preserve"> and </w:t>
      </w:r>
      <w:r w:rsidRPr="0061021D">
        <w:rPr>
          <w:rFonts w:ascii="Times New Roman" w:eastAsia="Times New Roman" w:hAnsi="Times New Roman" w:cs="Times New Roman"/>
          <w:i/>
          <w:iCs/>
          <w:szCs w:val="24"/>
        </w:rPr>
        <w:t>Fraser</w:t>
      </w:r>
      <w:r w:rsidRPr="0061021D">
        <w:rPr>
          <w:rFonts w:ascii="Times New Roman" w:eastAsia="Times New Roman" w:hAnsi="Times New Roman" w:cs="Times New Roman"/>
          <w:szCs w:val="24"/>
        </w:rPr>
        <w:t>.</w:t>
      </w:r>
    </w:p>
    <w:p w14:paraId="0A083FE0" w14:textId="77777777" w:rsidR="0061021D" w:rsidRPr="0061021D" w:rsidRDefault="0061021D" w:rsidP="0061021D">
      <w:pPr>
        <w:spacing w:after="0" w:line="240" w:lineRule="auto"/>
        <w:rPr>
          <w:rFonts w:ascii="Times New Roman" w:eastAsia="Times New Roman" w:hAnsi="Times New Roman" w:cs="Times New Roman"/>
          <w:szCs w:val="24"/>
        </w:rPr>
      </w:pPr>
      <w:r w:rsidRPr="0061021D">
        <w:rPr>
          <w:rFonts w:ascii="Times New Roman" w:eastAsia="Times New Roman" w:hAnsi="Times New Roman" w:cs="Times New Roman"/>
          <w:szCs w:val="24"/>
        </w:rPr>
        <w:pict w14:anchorId="729D6785">
          <v:rect id="_x0000_i1026" style="width:0;height:1.5pt" o:hralign="center" o:hrstd="t" o:hr="t" fillcolor="#a0a0a0" stroked="f"/>
        </w:pict>
      </w:r>
    </w:p>
    <w:bookmarkStart w:id="19" w:name="_ftn1"/>
    <w:p w14:paraId="79873316" w14:textId="77777777" w:rsidR="0061021D" w:rsidRPr="0061021D" w:rsidRDefault="0061021D" w:rsidP="0061021D">
      <w:pPr>
        <w:spacing w:before="100" w:beforeAutospacing="1" w:after="100" w:afterAutospacing="1" w:line="240" w:lineRule="auto"/>
        <w:rPr>
          <w:rFonts w:ascii="Times New Roman" w:eastAsia="Times New Roman" w:hAnsi="Times New Roman" w:cs="Times New Roman"/>
          <w:szCs w:val="24"/>
        </w:rPr>
      </w:pPr>
      <w:r w:rsidRPr="0061021D">
        <w:rPr>
          <w:rFonts w:ascii="Times New Roman" w:eastAsia="Times New Roman" w:hAnsi="Times New Roman" w:cs="Times New Roman"/>
          <w:szCs w:val="24"/>
        </w:rPr>
        <w:fldChar w:fldCharType="begin"/>
      </w:r>
      <w:r w:rsidRPr="0061021D">
        <w:rPr>
          <w:rFonts w:ascii="Times New Roman" w:eastAsia="Times New Roman" w:hAnsi="Times New Roman" w:cs="Times New Roman"/>
          <w:szCs w:val="24"/>
        </w:rPr>
        <w:instrText xml:space="preserve"> HYPERLINK "https://gowlingwlg.com/en/insights-resources/articles/2021/legal-nonconforming-rights-trilogy-in-ontario/" \l "_ftnref1" \o "" </w:instrText>
      </w:r>
      <w:r w:rsidRPr="0061021D">
        <w:rPr>
          <w:rFonts w:ascii="Times New Roman" w:eastAsia="Times New Roman" w:hAnsi="Times New Roman" w:cs="Times New Roman"/>
          <w:szCs w:val="24"/>
        </w:rPr>
        <w:fldChar w:fldCharType="separate"/>
      </w:r>
      <w:r w:rsidRPr="0061021D">
        <w:rPr>
          <w:rFonts w:ascii="Times New Roman" w:eastAsia="Times New Roman" w:hAnsi="Times New Roman" w:cs="Times New Roman"/>
          <w:color w:val="0000FF"/>
          <w:szCs w:val="24"/>
          <w:u w:val="single"/>
        </w:rPr>
        <w:t>[1]</w:t>
      </w:r>
      <w:r w:rsidRPr="0061021D">
        <w:rPr>
          <w:rFonts w:ascii="Times New Roman" w:eastAsia="Times New Roman" w:hAnsi="Times New Roman" w:cs="Times New Roman"/>
          <w:szCs w:val="24"/>
        </w:rPr>
        <w:fldChar w:fldCharType="end"/>
      </w:r>
      <w:bookmarkEnd w:id="19"/>
      <w:r w:rsidRPr="0061021D">
        <w:rPr>
          <w:rFonts w:ascii="Times New Roman" w:eastAsia="Times New Roman" w:hAnsi="Times New Roman" w:cs="Times New Roman"/>
          <w:szCs w:val="24"/>
        </w:rPr>
        <w:t xml:space="preserve"> </w:t>
      </w:r>
      <w:r w:rsidRPr="0061021D">
        <w:rPr>
          <w:rFonts w:ascii="Times New Roman" w:eastAsia="Times New Roman" w:hAnsi="Times New Roman" w:cs="Times New Roman"/>
          <w:i/>
          <w:iCs/>
          <w:szCs w:val="24"/>
        </w:rPr>
        <w:t xml:space="preserve">Re TDL Group Corp </w:t>
      </w:r>
      <w:r w:rsidRPr="0061021D">
        <w:rPr>
          <w:rFonts w:ascii="Times New Roman" w:eastAsia="Times New Roman" w:hAnsi="Times New Roman" w:cs="Times New Roman"/>
          <w:szCs w:val="24"/>
        </w:rPr>
        <w:t>63 OMBR 199 (2009) (OMB).</w:t>
      </w:r>
    </w:p>
    <w:bookmarkStart w:id="20" w:name="_ftn2"/>
    <w:p w14:paraId="52BFD478" w14:textId="77777777" w:rsidR="0061021D" w:rsidRPr="0061021D" w:rsidRDefault="0061021D" w:rsidP="0061021D">
      <w:pPr>
        <w:spacing w:before="100" w:beforeAutospacing="1" w:after="100" w:afterAutospacing="1" w:line="240" w:lineRule="auto"/>
        <w:rPr>
          <w:rFonts w:ascii="Times New Roman" w:eastAsia="Times New Roman" w:hAnsi="Times New Roman" w:cs="Times New Roman"/>
          <w:szCs w:val="24"/>
        </w:rPr>
      </w:pPr>
      <w:r w:rsidRPr="0061021D">
        <w:rPr>
          <w:rFonts w:ascii="Times New Roman" w:eastAsia="Times New Roman" w:hAnsi="Times New Roman" w:cs="Times New Roman"/>
          <w:szCs w:val="24"/>
        </w:rPr>
        <w:fldChar w:fldCharType="begin"/>
      </w:r>
      <w:r w:rsidRPr="0061021D">
        <w:rPr>
          <w:rFonts w:ascii="Times New Roman" w:eastAsia="Times New Roman" w:hAnsi="Times New Roman" w:cs="Times New Roman"/>
          <w:szCs w:val="24"/>
        </w:rPr>
        <w:instrText xml:space="preserve"> HYPERLINK "https://gowlingwlg.com/en/insights-resources/articles/2021/legal-nonconforming-rights-trilogy-in-ontario/" \l "_ftnref2" \o "" </w:instrText>
      </w:r>
      <w:r w:rsidRPr="0061021D">
        <w:rPr>
          <w:rFonts w:ascii="Times New Roman" w:eastAsia="Times New Roman" w:hAnsi="Times New Roman" w:cs="Times New Roman"/>
          <w:szCs w:val="24"/>
        </w:rPr>
        <w:fldChar w:fldCharType="separate"/>
      </w:r>
      <w:r w:rsidRPr="0061021D">
        <w:rPr>
          <w:rFonts w:ascii="Times New Roman" w:eastAsia="Times New Roman" w:hAnsi="Times New Roman" w:cs="Times New Roman"/>
          <w:color w:val="0000FF"/>
          <w:szCs w:val="24"/>
          <w:u w:val="single"/>
        </w:rPr>
        <w:t>[2]</w:t>
      </w:r>
      <w:r w:rsidRPr="0061021D">
        <w:rPr>
          <w:rFonts w:ascii="Times New Roman" w:eastAsia="Times New Roman" w:hAnsi="Times New Roman" w:cs="Times New Roman"/>
          <w:szCs w:val="24"/>
        </w:rPr>
        <w:fldChar w:fldCharType="end"/>
      </w:r>
      <w:bookmarkEnd w:id="20"/>
      <w:r w:rsidRPr="0061021D">
        <w:rPr>
          <w:rFonts w:ascii="Times New Roman" w:eastAsia="Times New Roman" w:hAnsi="Times New Roman" w:cs="Times New Roman"/>
          <w:szCs w:val="24"/>
        </w:rPr>
        <w:t xml:space="preserve"> </w:t>
      </w:r>
      <w:r w:rsidRPr="0061021D">
        <w:rPr>
          <w:rFonts w:ascii="Times New Roman" w:eastAsia="Times New Roman" w:hAnsi="Times New Roman" w:cs="Times New Roman"/>
          <w:i/>
          <w:iCs/>
          <w:szCs w:val="24"/>
        </w:rPr>
        <w:t xml:space="preserve">Re TDL Group Corp </w:t>
      </w:r>
      <w:r w:rsidRPr="0061021D">
        <w:rPr>
          <w:rFonts w:ascii="Times New Roman" w:eastAsia="Times New Roman" w:hAnsi="Times New Roman" w:cs="Times New Roman"/>
          <w:szCs w:val="24"/>
        </w:rPr>
        <w:t>[2009] O.J. No. 4816 (</w:t>
      </w:r>
      <w:proofErr w:type="spellStart"/>
      <w:r w:rsidRPr="0061021D">
        <w:rPr>
          <w:rFonts w:ascii="Times New Roman" w:eastAsia="Times New Roman" w:hAnsi="Times New Roman" w:cs="Times New Roman"/>
          <w:szCs w:val="24"/>
        </w:rPr>
        <w:t>Ont</w:t>
      </w:r>
      <w:proofErr w:type="spellEnd"/>
      <w:r w:rsidRPr="0061021D">
        <w:rPr>
          <w:rFonts w:ascii="Times New Roman" w:eastAsia="Times New Roman" w:hAnsi="Times New Roman" w:cs="Times New Roman"/>
          <w:szCs w:val="24"/>
        </w:rPr>
        <w:t xml:space="preserve"> </w:t>
      </w:r>
      <w:proofErr w:type="spellStart"/>
      <w:r w:rsidRPr="0061021D">
        <w:rPr>
          <w:rFonts w:ascii="Times New Roman" w:eastAsia="Times New Roman" w:hAnsi="Times New Roman" w:cs="Times New Roman"/>
          <w:szCs w:val="24"/>
        </w:rPr>
        <w:t>Div</w:t>
      </w:r>
      <w:proofErr w:type="spellEnd"/>
      <w:r w:rsidRPr="0061021D">
        <w:rPr>
          <w:rFonts w:ascii="Times New Roman" w:eastAsia="Times New Roman" w:hAnsi="Times New Roman" w:cs="Times New Roman"/>
          <w:szCs w:val="24"/>
        </w:rPr>
        <w:t xml:space="preserve"> Ct.)</w:t>
      </w:r>
    </w:p>
    <w:bookmarkStart w:id="21" w:name="_ftn3"/>
    <w:p w14:paraId="2446D4A4" w14:textId="77777777" w:rsidR="0061021D" w:rsidRPr="0061021D" w:rsidRDefault="0061021D" w:rsidP="0061021D">
      <w:pPr>
        <w:spacing w:before="100" w:beforeAutospacing="1" w:after="100" w:afterAutospacing="1" w:line="240" w:lineRule="auto"/>
        <w:rPr>
          <w:rFonts w:ascii="Times New Roman" w:eastAsia="Times New Roman" w:hAnsi="Times New Roman" w:cs="Times New Roman"/>
          <w:szCs w:val="24"/>
        </w:rPr>
      </w:pPr>
      <w:r w:rsidRPr="0061021D">
        <w:rPr>
          <w:rFonts w:ascii="Times New Roman" w:eastAsia="Times New Roman" w:hAnsi="Times New Roman" w:cs="Times New Roman"/>
          <w:szCs w:val="24"/>
        </w:rPr>
        <w:lastRenderedPageBreak/>
        <w:fldChar w:fldCharType="begin"/>
      </w:r>
      <w:r w:rsidRPr="0061021D">
        <w:rPr>
          <w:rFonts w:ascii="Times New Roman" w:eastAsia="Times New Roman" w:hAnsi="Times New Roman" w:cs="Times New Roman"/>
          <w:szCs w:val="24"/>
        </w:rPr>
        <w:instrText xml:space="preserve"> HYPERLINK "https://gowlingwlg.com/en/insights-resources/articles/2021/legal-nonconforming-rights-trilogy-in-ontario/" \l "_ftnref3" \o "" </w:instrText>
      </w:r>
      <w:r w:rsidRPr="0061021D">
        <w:rPr>
          <w:rFonts w:ascii="Times New Roman" w:eastAsia="Times New Roman" w:hAnsi="Times New Roman" w:cs="Times New Roman"/>
          <w:szCs w:val="24"/>
        </w:rPr>
        <w:fldChar w:fldCharType="separate"/>
      </w:r>
      <w:r w:rsidRPr="0061021D">
        <w:rPr>
          <w:rFonts w:ascii="Times New Roman" w:eastAsia="Times New Roman" w:hAnsi="Times New Roman" w:cs="Times New Roman"/>
          <w:color w:val="0000FF"/>
          <w:szCs w:val="24"/>
          <w:u w:val="single"/>
        </w:rPr>
        <w:t>[3]</w:t>
      </w:r>
      <w:r w:rsidRPr="0061021D">
        <w:rPr>
          <w:rFonts w:ascii="Times New Roman" w:eastAsia="Times New Roman" w:hAnsi="Times New Roman" w:cs="Times New Roman"/>
          <w:szCs w:val="24"/>
        </w:rPr>
        <w:fldChar w:fldCharType="end"/>
      </w:r>
      <w:bookmarkEnd w:id="21"/>
      <w:r w:rsidRPr="0061021D">
        <w:rPr>
          <w:rFonts w:ascii="Times New Roman" w:eastAsia="Times New Roman" w:hAnsi="Times New Roman" w:cs="Times New Roman"/>
          <w:szCs w:val="24"/>
        </w:rPr>
        <w:t xml:space="preserve"> </w:t>
      </w:r>
      <w:r w:rsidRPr="0061021D">
        <w:rPr>
          <w:rFonts w:ascii="Times New Roman" w:eastAsia="Times New Roman" w:hAnsi="Times New Roman" w:cs="Times New Roman"/>
          <w:i/>
          <w:iCs/>
          <w:szCs w:val="24"/>
        </w:rPr>
        <w:t xml:space="preserve">Brougham v. South Frontenac (Township) </w:t>
      </w:r>
      <w:r w:rsidRPr="0061021D">
        <w:rPr>
          <w:rFonts w:ascii="Times New Roman" w:eastAsia="Times New Roman" w:hAnsi="Times New Roman" w:cs="Times New Roman"/>
          <w:szCs w:val="24"/>
        </w:rPr>
        <w:t>2 OMBR (2d) 345 (2018).</w:t>
      </w:r>
    </w:p>
    <w:bookmarkStart w:id="22" w:name="_ftn4"/>
    <w:p w14:paraId="4C585146" w14:textId="77777777" w:rsidR="0061021D" w:rsidRPr="0061021D" w:rsidRDefault="0061021D" w:rsidP="0061021D">
      <w:pPr>
        <w:spacing w:before="100" w:beforeAutospacing="1" w:after="100" w:afterAutospacing="1" w:line="240" w:lineRule="auto"/>
        <w:rPr>
          <w:rFonts w:ascii="Times New Roman" w:eastAsia="Times New Roman" w:hAnsi="Times New Roman" w:cs="Times New Roman"/>
          <w:szCs w:val="24"/>
        </w:rPr>
      </w:pPr>
      <w:r w:rsidRPr="0061021D">
        <w:rPr>
          <w:rFonts w:ascii="Times New Roman" w:eastAsia="Times New Roman" w:hAnsi="Times New Roman" w:cs="Times New Roman"/>
          <w:szCs w:val="24"/>
        </w:rPr>
        <w:fldChar w:fldCharType="begin"/>
      </w:r>
      <w:r w:rsidRPr="0061021D">
        <w:rPr>
          <w:rFonts w:ascii="Times New Roman" w:eastAsia="Times New Roman" w:hAnsi="Times New Roman" w:cs="Times New Roman"/>
          <w:szCs w:val="24"/>
        </w:rPr>
        <w:instrText xml:space="preserve"> HYPERLINK "https://gowlingwlg.com/en/insights-resources/articles/2021/legal-nonconforming-rights-trilogy-in-ontario/" \l "_ftnref4" \o "" </w:instrText>
      </w:r>
      <w:r w:rsidRPr="0061021D">
        <w:rPr>
          <w:rFonts w:ascii="Times New Roman" w:eastAsia="Times New Roman" w:hAnsi="Times New Roman" w:cs="Times New Roman"/>
          <w:szCs w:val="24"/>
        </w:rPr>
        <w:fldChar w:fldCharType="separate"/>
      </w:r>
      <w:r w:rsidRPr="0061021D">
        <w:rPr>
          <w:rFonts w:ascii="Times New Roman" w:eastAsia="Times New Roman" w:hAnsi="Times New Roman" w:cs="Times New Roman"/>
          <w:color w:val="0000FF"/>
          <w:szCs w:val="24"/>
          <w:u w:val="single"/>
        </w:rPr>
        <w:t>[4]</w:t>
      </w:r>
      <w:r w:rsidRPr="0061021D">
        <w:rPr>
          <w:rFonts w:ascii="Times New Roman" w:eastAsia="Times New Roman" w:hAnsi="Times New Roman" w:cs="Times New Roman"/>
          <w:szCs w:val="24"/>
        </w:rPr>
        <w:fldChar w:fldCharType="end"/>
      </w:r>
      <w:bookmarkEnd w:id="22"/>
      <w:r w:rsidRPr="0061021D">
        <w:rPr>
          <w:rFonts w:ascii="Times New Roman" w:eastAsia="Times New Roman" w:hAnsi="Times New Roman" w:cs="Times New Roman"/>
          <w:szCs w:val="24"/>
        </w:rPr>
        <w:t xml:space="preserve"> </w:t>
      </w:r>
      <w:r w:rsidRPr="0061021D">
        <w:rPr>
          <w:rFonts w:ascii="Times New Roman" w:eastAsia="Times New Roman" w:hAnsi="Times New Roman" w:cs="Times New Roman"/>
          <w:i/>
          <w:iCs/>
          <w:szCs w:val="24"/>
        </w:rPr>
        <w:t xml:space="preserve">Fraser v. Rideau Lakes (Township) </w:t>
      </w:r>
      <w:r w:rsidRPr="0061021D">
        <w:rPr>
          <w:rFonts w:ascii="Times New Roman" w:eastAsia="Times New Roman" w:hAnsi="Times New Roman" w:cs="Times New Roman"/>
          <w:szCs w:val="24"/>
        </w:rPr>
        <w:t xml:space="preserve">2020 </w:t>
      </w:r>
      <w:proofErr w:type="spellStart"/>
      <w:r w:rsidRPr="0061021D">
        <w:rPr>
          <w:rFonts w:ascii="Times New Roman" w:eastAsia="Times New Roman" w:hAnsi="Times New Roman" w:cs="Times New Roman"/>
          <w:szCs w:val="24"/>
        </w:rPr>
        <w:t>CarswellOnt</w:t>
      </w:r>
      <w:proofErr w:type="spellEnd"/>
      <w:r w:rsidRPr="0061021D">
        <w:rPr>
          <w:rFonts w:ascii="Times New Roman" w:eastAsia="Times New Roman" w:hAnsi="Times New Roman" w:cs="Times New Roman"/>
          <w:szCs w:val="24"/>
        </w:rPr>
        <w:t xml:space="preserve"> 17264 (LPAT).</w:t>
      </w:r>
    </w:p>
    <w:bookmarkStart w:id="23" w:name="_ftn5"/>
    <w:p w14:paraId="7332BF05" w14:textId="77777777" w:rsidR="0061021D" w:rsidRPr="0061021D" w:rsidRDefault="0061021D" w:rsidP="0061021D">
      <w:pPr>
        <w:spacing w:before="100" w:beforeAutospacing="1" w:after="100" w:afterAutospacing="1" w:line="240" w:lineRule="auto"/>
        <w:rPr>
          <w:rFonts w:ascii="Times New Roman" w:eastAsia="Times New Roman" w:hAnsi="Times New Roman" w:cs="Times New Roman"/>
          <w:szCs w:val="24"/>
        </w:rPr>
      </w:pPr>
      <w:r w:rsidRPr="0061021D">
        <w:rPr>
          <w:rFonts w:ascii="Times New Roman" w:eastAsia="Times New Roman" w:hAnsi="Times New Roman" w:cs="Times New Roman"/>
          <w:szCs w:val="24"/>
        </w:rPr>
        <w:fldChar w:fldCharType="begin"/>
      </w:r>
      <w:r w:rsidRPr="0061021D">
        <w:rPr>
          <w:rFonts w:ascii="Times New Roman" w:eastAsia="Times New Roman" w:hAnsi="Times New Roman" w:cs="Times New Roman"/>
          <w:szCs w:val="24"/>
        </w:rPr>
        <w:instrText xml:space="preserve"> HYPERLINK "https://gowlingwlg.com/en/insights-resources/articles/2021/legal-nonconforming-rights-trilogy-in-ontario/" \l "_ftnref5" \o "" </w:instrText>
      </w:r>
      <w:r w:rsidRPr="0061021D">
        <w:rPr>
          <w:rFonts w:ascii="Times New Roman" w:eastAsia="Times New Roman" w:hAnsi="Times New Roman" w:cs="Times New Roman"/>
          <w:szCs w:val="24"/>
        </w:rPr>
        <w:fldChar w:fldCharType="separate"/>
      </w:r>
      <w:r w:rsidRPr="0061021D">
        <w:rPr>
          <w:rFonts w:ascii="Times New Roman" w:eastAsia="Times New Roman" w:hAnsi="Times New Roman" w:cs="Times New Roman"/>
          <w:color w:val="0000FF"/>
          <w:szCs w:val="24"/>
          <w:u w:val="single"/>
        </w:rPr>
        <w:t>[5]</w:t>
      </w:r>
      <w:r w:rsidRPr="0061021D">
        <w:rPr>
          <w:rFonts w:ascii="Times New Roman" w:eastAsia="Times New Roman" w:hAnsi="Times New Roman" w:cs="Times New Roman"/>
          <w:szCs w:val="24"/>
        </w:rPr>
        <w:fldChar w:fldCharType="end"/>
      </w:r>
      <w:bookmarkEnd w:id="23"/>
      <w:r w:rsidRPr="0061021D">
        <w:rPr>
          <w:rFonts w:ascii="Times New Roman" w:eastAsia="Times New Roman" w:hAnsi="Times New Roman" w:cs="Times New Roman"/>
          <w:szCs w:val="24"/>
        </w:rPr>
        <w:t xml:space="preserve"> </w:t>
      </w:r>
      <w:r w:rsidRPr="0061021D">
        <w:rPr>
          <w:rFonts w:ascii="Times New Roman" w:eastAsia="Times New Roman" w:hAnsi="Times New Roman" w:cs="Times New Roman"/>
          <w:i/>
          <w:iCs/>
          <w:szCs w:val="24"/>
        </w:rPr>
        <w:t xml:space="preserve">Central Jewish Institute v. Toronto (City) </w:t>
      </w:r>
      <w:r w:rsidRPr="0061021D">
        <w:rPr>
          <w:rFonts w:ascii="Times New Roman" w:eastAsia="Times New Roman" w:hAnsi="Times New Roman" w:cs="Times New Roman"/>
          <w:szCs w:val="24"/>
        </w:rPr>
        <w:t>[1948] SCR 101.</w:t>
      </w:r>
    </w:p>
    <w:bookmarkStart w:id="24" w:name="_ftn6"/>
    <w:p w14:paraId="7CD725CA" w14:textId="77777777" w:rsidR="0061021D" w:rsidRPr="0061021D" w:rsidRDefault="0061021D" w:rsidP="0061021D">
      <w:pPr>
        <w:spacing w:before="100" w:beforeAutospacing="1" w:after="100" w:afterAutospacing="1" w:line="240" w:lineRule="auto"/>
        <w:rPr>
          <w:rFonts w:ascii="Times New Roman" w:eastAsia="Times New Roman" w:hAnsi="Times New Roman" w:cs="Times New Roman"/>
          <w:szCs w:val="24"/>
        </w:rPr>
      </w:pPr>
      <w:r w:rsidRPr="0061021D">
        <w:rPr>
          <w:rFonts w:ascii="Times New Roman" w:eastAsia="Times New Roman" w:hAnsi="Times New Roman" w:cs="Times New Roman"/>
          <w:szCs w:val="24"/>
        </w:rPr>
        <w:fldChar w:fldCharType="begin"/>
      </w:r>
      <w:r w:rsidRPr="0061021D">
        <w:rPr>
          <w:rFonts w:ascii="Times New Roman" w:eastAsia="Times New Roman" w:hAnsi="Times New Roman" w:cs="Times New Roman"/>
          <w:szCs w:val="24"/>
        </w:rPr>
        <w:instrText xml:space="preserve"> HYPERLINK "https://gowlingwlg.com/en/insights-resources/articles/2021/legal-nonconforming-rights-trilogy-in-ontario/" \l "_ftnref6" \o "" </w:instrText>
      </w:r>
      <w:r w:rsidRPr="0061021D">
        <w:rPr>
          <w:rFonts w:ascii="Times New Roman" w:eastAsia="Times New Roman" w:hAnsi="Times New Roman" w:cs="Times New Roman"/>
          <w:szCs w:val="24"/>
        </w:rPr>
        <w:fldChar w:fldCharType="separate"/>
      </w:r>
      <w:r w:rsidRPr="0061021D">
        <w:rPr>
          <w:rFonts w:ascii="Times New Roman" w:eastAsia="Times New Roman" w:hAnsi="Times New Roman" w:cs="Times New Roman"/>
          <w:color w:val="0000FF"/>
          <w:szCs w:val="24"/>
          <w:u w:val="single"/>
        </w:rPr>
        <w:t>[6]</w:t>
      </w:r>
      <w:r w:rsidRPr="0061021D">
        <w:rPr>
          <w:rFonts w:ascii="Times New Roman" w:eastAsia="Times New Roman" w:hAnsi="Times New Roman" w:cs="Times New Roman"/>
          <w:szCs w:val="24"/>
        </w:rPr>
        <w:fldChar w:fldCharType="end"/>
      </w:r>
      <w:bookmarkEnd w:id="24"/>
      <w:r w:rsidRPr="0061021D">
        <w:rPr>
          <w:rFonts w:ascii="Times New Roman" w:eastAsia="Times New Roman" w:hAnsi="Times New Roman" w:cs="Times New Roman"/>
          <w:szCs w:val="24"/>
        </w:rPr>
        <w:t xml:space="preserve"> </w:t>
      </w:r>
      <w:r w:rsidRPr="0061021D">
        <w:rPr>
          <w:rFonts w:ascii="Times New Roman" w:eastAsia="Times New Roman" w:hAnsi="Times New Roman" w:cs="Times New Roman"/>
          <w:i/>
          <w:iCs/>
          <w:szCs w:val="24"/>
        </w:rPr>
        <w:t xml:space="preserve">Saint Romuald (City) v. Olivier </w:t>
      </w:r>
      <w:r w:rsidRPr="0061021D">
        <w:rPr>
          <w:rFonts w:ascii="Times New Roman" w:eastAsia="Times New Roman" w:hAnsi="Times New Roman" w:cs="Times New Roman"/>
          <w:szCs w:val="24"/>
        </w:rPr>
        <w:t>[2001] 2 SCR 898.</w:t>
      </w:r>
    </w:p>
    <w:bookmarkStart w:id="25" w:name="_ftn7"/>
    <w:p w14:paraId="64D1A3B4" w14:textId="77777777" w:rsidR="0061021D" w:rsidRPr="0061021D" w:rsidRDefault="0061021D" w:rsidP="0061021D">
      <w:pPr>
        <w:spacing w:before="100" w:beforeAutospacing="1" w:after="100" w:afterAutospacing="1" w:line="240" w:lineRule="auto"/>
        <w:rPr>
          <w:rFonts w:ascii="Times New Roman" w:eastAsia="Times New Roman" w:hAnsi="Times New Roman" w:cs="Times New Roman"/>
          <w:szCs w:val="24"/>
        </w:rPr>
      </w:pPr>
      <w:r w:rsidRPr="0061021D">
        <w:rPr>
          <w:rFonts w:ascii="Times New Roman" w:eastAsia="Times New Roman" w:hAnsi="Times New Roman" w:cs="Times New Roman"/>
          <w:szCs w:val="24"/>
        </w:rPr>
        <w:fldChar w:fldCharType="begin"/>
      </w:r>
      <w:r w:rsidRPr="0061021D">
        <w:rPr>
          <w:rFonts w:ascii="Times New Roman" w:eastAsia="Times New Roman" w:hAnsi="Times New Roman" w:cs="Times New Roman"/>
          <w:szCs w:val="24"/>
        </w:rPr>
        <w:instrText xml:space="preserve"> HYPERLINK "https://gowlingwlg.com/en/insights-resources/articles/2021/legal-nonconforming-rights-trilogy-in-ontario/" \l "_ftnref7" \o "" </w:instrText>
      </w:r>
      <w:r w:rsidRPr="0061021D">
        <w:rPr>
          <w:rFonts w:ascii="Times New Roman" w:eastAsia="Times New Roman" w:hAnsi="Times New Roman" w:cs="Times New Roman"/>
          <w:szCs w:val="24"/>
        </w:rPr>
        <w:fldChar w:fldCharType="separate"/>
      </w:r>
      <w:r w:rsidRPr="0061021D">
        <w:rPr>
          <w:rFonts w:ascii="Times New Roman" w:eastAsia="Times New Roman" w:hAnsi="Times New Roman" w:cs="Times New Roman"/>
          <w:color w:val="0000FF"/>
          <w:szCs w:val="24"/>
          <w:u w:val="single"/>
        </w:rPr>
        <w:t>[7]</w:t>
      </w:r>
      <w:r w:rsidRPr="0061021D">
        <w:rPr>
          <w:rFonts w:ascii="Times New Roman" w:eastAsia="Times New Roman" w:hAnsi="Times New Roman" w:cs="Times New Roman"/>
          <w:szCs w:val="24"/>
        </w:rPr>
        <w:fldChar w:fldCharType="end"/>
      </w:r>
      <w:bookmarkEnd w:id="25"/>
      <w:r w:rsidRPr="0061021D">
        <w:rPr>
          <w:rFonts w:ascii="Times New Roman" w:eastAsia="Times New Roman" w:hAnsi="Times New Roman" w:cs="Times New Roman"/>
          <w:szCs w:val="24"/>
        </w:rPr>
        <w:t xml:space="preserve"> </w:t>
      </w:r>
      <w:r w:rsidRPr="0061021D">
        <w:rPr>
          <w:rFonts w:ascii="Times New Roman" w:eastAsia="Times New Roman" w:hAnsi="Times New Roman" w:cs="Times New Roman"/>
          <w:i/>
          <w:iCs/>
          <w:szCs w:val="24"/>
        </w:rPr>
        <w:t xml:space="preserve">Saint Romuald </w:t>
      </w:r>
      <w:r w:rsidRPr="0061021D">
        <w:rPr>
          <w:rFonts w:ascii="Times New Roman" w:eastAsia="Times New Roman" w:hAnsi="Times New Roman" w:cs="Times New Roman"/>
          <w:szCs w:val="24"/>
        </w:rPr>
        <w:t>at para 38.</w:t>
      </w:r>
    </w:p>
    <w:bookmarkStart w:id="26" w:name="_ftn8"/>
    <w:p w14:paraId="59820AD4" w14:textId="77777777" w:rsidR="0061021D" w:rsidRPr="0061021D" w:rsidRDefault="0061021D" w:rsidP="0061021D">
      <w:pPr>
        <w:spacing w:before="100" w:beforeAutospacing="1" w:after="100" w:afterAutospacing="1" w:line="240" w:lineRule="auto"/>
        <w:rPr>
          <w:rFonts w:ascii="Times New Roman" w:eastAsia="Times New Roman" w:hAnsi="Times New Roman" w:cs="Times New Roman"/>
          <w:szCs w:val="24"/>
        </w:rPr>
      </w:pPr>
      <w:r w:rsidRPr="0061021D">
        <w:rPr>
          <w:rFonts w:ascii="Times New Roman" w:eastAsia="Times New Roman" w:hAnsi="Times New Roman" w:cs="Times New Roman"/>
          <w:szCs w:val="24"/>
        </w:rPr>
        <w:fldChar w:fldCharType="begin"/>
      </w:r>
      <w:r w:rsidRPr="0061021D">
        <w:rPr>
          <w:rFonts w:ascii="Times New Roman" w:eastAsia="Times New Roman" w:hAnsi="Times New Roman" w:cs="Times New Roman"/>
          <w:szCs w:val="24"/>
        </w:rPr>
        <w:instrText xml:space="preserve"> HYPERLINK "https://gowlingwlg.com/en/insights-resources/articles/2021/legal-nonconforming-rights-trilogy-in-ontario/" \l "_ftnref8" \o "" </w:instrText>
      </w:r>
      <w:r w:rsidRPr="0061021D">
        <w:rPr>
          <w:rFonts w:ascii="Times New Roman" w:eastAsia="Times New Roman" w:hAnsi="Times New Roman" w:cs="Times New Roman"/>
          <w:szCs w:val="24"/>
        </w:rPr>
        <w:fldChar w:fldCharType="separate"/>
      </w:r>
      <w:r w:rsidRPr="0061021D">
        <w:rPr>
          <w:rFonts w:ascii="Times New Roman" w:eastAsia="Times New Roman" w:hAnsi="Times New Roman" w:cs="Times New Roman"/>
          <w:color w:val="0000FF"/>
          <w:szCs w:val="24"/>
          <w:u w:val="single"/>
        </w:rPr>
        <w:t>[8]</w:t>
      </w:r>
      <w:r w:rsidRPr="0061021D">
        <w:rPr>
          <w:rFonts w:ascii="Times New Roman" w:eastAsia="Times New Roman" w:hAnsi="Times New Roman" w:cs="Times New Roman"/>
          <w:szCs w:val="24"/>
        </w:rPr>
        <w:fldChar w:fldCharType="end"/>
      </w:r>
      <w:bookmarkEnd w:id="26"/>
      <w:r w:rsidRPr="0061021D">
        <w:rPr>
          <w:rFonts w:ascii="Times New Roman" w:eastAsia="Times New Roman" w:hAnsi="Times New Roman" w:cs="Times New Roman"/>
          <w:szCs w:val="24"/>
        </w:rPr>
        <w:t xml:space="preserve"> As will be discussed below the term "noncomplying" as opposed to nonconforming, is a land use planning term of art, with no basis in the </w:t>
      </w:r>
      <w:r w:rsidRPr="0061021D">
        <w:rPr>
          <w:rFonts w:ascii="Times New Roman" w:eastAsia="Times New Roman" w:hAnsi="Times New Roman" w:cs="Times New Roman"/>
          <w:i/>
          <w:iCs/>
          <w:szCs w:val="24"/>
        </w:rPr>
        <w:t>Planning Act</w:t>
      </w:r>
      <w:r w:rsidRPr="0061021D">
        <w:rPr>
          <w:rFonts w:ascii="Times New Roman" w:eastAsia="Times New Roman" w:hAnsi="Times New Roman" w:cs="Times New Roman"/>
          <w:szCs w:val="24"/>
        </w:rPr>
        <w:t xml:space="preserve">. Often, uses are referred to as "nonconforming," whereas buildings or structures that no longer conform to performance standards are referred to as "noncomplying." There is no basis for distinguishing the 2 terms, and both nonconforming and noncomplying buildings or structures are equally protected under the </w:t>
      </w:r>
      <w:r w:rsidRPr="0061021D">
        <w:rPr>
          <w:rFonts w:ascii="Times New Roman" w:eastAsia="Times New Roman" w:hAnsi="Times New Roman" w:cs="Times New Roman"/>
          <w:i/>
          <w:iCs/>
          <w:szCs w:val="24"/>
        </w:rPr>
        <w:t>Planning Act</w:t>
      </w:r>
      <w:r w:rsidRPr="0061021D">
        <w:rPr>
          <w:rFonts w:ascii="Times New Roman" w:eastAsia="Times New Roman" w:hAnsi="Times New Roman" w:cs="Times New Roman"/>
          <w:szCs w:val="24"/>
        </w:rPr>
        <w:t xml:space="preserve"> and the common law.</w:t>
      </w:r>
    </w:p>
    <w:bookmarkStart w:id="27" w:name="_ftn9"/>
    <w:p w14:paraId="6CE64A12" w14:textId="77777777" w:rsidR="0061021D" w:rsidRPr="0061021D" w:rsidRDefault="0061021D" w:rsidP="0061021D">
      <w:pPr>
        <w:spacing w:before="100" w:beforeAutospacing="1" w:after="100" w:afterAutospacing="1" w:line="240" w:lineRule="auto"/>
        <w:rPr>
          <w:rFonts w:ascii="Times New Roman" w:eastAsia="Times New Roman" w:hAnsi="Times New Roman" w:cs="Times New Roman"/>
          <w:szCs w:val="24"/>
        </w:rPr>
      </w:pPr>
      <w:r w:rsidRPr="0061021D">
        <w:rPr>
          <w:rFonts w:ascii="Times New Roman" w:eastAsia="Times New Roman" w:hAnsi="Times New Roman" w:cs="Times New Roman"/>
          <w:szCs w:val="24"/>
        </w:rPr>
        <w:fldChar w:fldCharType="begin"/>
      </w:r>
      <w:r w:rsidRPr="0061021D">
        <w:rPr>
          <w:rFonts w:ascii="Times New Roman" w:eastAsia="Times New Roman" w:hAnsi="Times New Roman" w:cs="Times New Roman"/>
          <w:szCs w:val="24"/>
        </w:rPr>
        <w:instrText xml:space="preserve"> HYPERLINK "https://gowlingwlg.com/en/insights-resources/articles/2021/legal-nonconforming-rights-trilogy-in-ontario/" \l "_ftnref9" \o "" </w:instrText>
      </w:r>
      <w:r w:rsidRPr="0061021D">
        <w:rPr>
          <w:rFonts w:ascii="Times New Roman" w:eastAsia="Times New Roman" w:hAnsi="Times New Roman" w:cs="Times New Roman"/>
          <w:szCs w:val="24"/>
        </w:rPr>
        <w:fldChar w:fldCharType="separate"/>
      </w:r>
      <w:r w:rsidRPr="0061021D">
        <w:rPr>
          <w:rFonts w:ascii="Times New Roman" w:eastAsia="Times New Roman" w:hAnsi="Times New Roman" w:cs="Times New Roman"/>
          <w:color w:val="0000FF"/>
          <w:szCs w:val="24"/>
          <w:u w:val="single"/>
        </w:rPr>
        <w:t>[9]</w:t>
      </w:r>
      <w:r w:rsidRPr="0061021D">
        <w:rPr>
          <w:rFonts w:ascii="Times New Roman" w:eastAsia="Times New Roman" w:hAnsi="Times New Roman" w:cs="Times New Roman"/>
          <w:szCs w:val="24"/>
        </w:rPr>
        <w:fldChar w:fldCharType="end"/>
      </w:r>
      <w:bookmarkEnd w:id="27"/>
      <w:r w:rsidRPr="0061021D">
        <w:rPr>
          <w:rFonts w:ascii="Times New Roman" w:eastAsia="Times New Roman" w:hAnsi="Times New Roman" w:cs="Times New Roman"/>
          <w:szCs w:val="24"/>
        </w:rPr>
        <w:t xml:space="preserve"> </w:t>
      </w:r>
      <w:r w:rsidRPr="0061021D">
        <w:rPr>
          <w:rFonts w:ascii="Times New Roman" w:eastAsia="Times New Roman" w:hAnsi="Times New Roman" w:cs="Times New Roman"/>
          <w:i/>
          <w:iCs/>
          <w:szCs w:val="24"/>
        </w:rPr>
        <w:t xml:space="preserve">Re TDL Group Corp </w:t>
      </w:r>
      <w:r w:rsidRPr="0061021D">
        <w:rPr>
          <w:rFonts w:ascii="Times New Roman" w:eastAsia="Times New Roman" w:hAnsi="Times New Roman" w:cs="Times New Roman"/>
          <w:szCs w:val="24"/>
        </w:rPr>
        <w:t>(OMB) at para 33.</w:t>
      </w:r>
    </w:p>
    <w:bookmarkStart w:id="28" w:name="_ftn10"/>
    <w:p w14:paraId="59B47352" w14:textId="77777777" w:rsidR="0061021D" w:rsidRPr="0061021D" w:rsidRDefault="0061021D" w:rsidP="0061021D">
      <w:pPr>
        <w:spacing w:before="100" w:beforeAutospacing="1" w:after="100" w:afterAutospacing="1" w:line="240" w:lineRule="auto"/>
        <w:rPr>
          <w:rFonts w:ascii="Times New Roman" w:eastAsia="Times New Roman" w:hAnsi="Times New Roman" w:cs="Times New Roman"/>
          <w:szCs w:val="24"/>
        </w:rPr>
      </w:pPr>
      <w:r w:rsidRPr="0061021D">
        <w:rPr>
          <w:rFonts w:ascii="Times New Roman" w:eastAsia="Times New Roman" w:hAnsi="Times New Roman" w:cs="Times New Roman"/>
          <w:szCs w:val="24"/>
        </w:rPr>
        <w:fldChar w:fldCharType="begin"/>
      </w:r>
      <w:r w:rsidRPr="0061021D">
        <w:rPr>
          <w:rFonts w:ascii="Times New Roman" w:eastAsia="Times New Roman" w:hAnsi="Times New Roman" w:cs="Times New Roman"/>
          <w:szCs w:val="24"/>
        </w:rPr>
        <w:instrText xml:space="preserve"> HYPERLINK "https://gowlingwlg.com/en/insights-resources/articles/2021/legal-nonconforming-rights-trilogy-in-ontario/" \l "_ftnref10" \o "" </w:instrText>
      </w:r>
      <w:r w:rsidRPr="0061021D">
        <w:rPr>
          <w:rFonts w:ascii="Times New Roman" w:eastAsia="Times New Roman" w:hAnsi="Times New Roman" w:cs="Times New Roman"/>
          <w:szCs w:val="24"/>
        </w:rPr>
        <w:fldChar w:fldCharType="separate"/>
      </w:r>
      <w:r w:rsidRPr="0061021D">
        <w:rPr>
          <w:rFonts w:ascii="Times New Roman" w:eastAsia="Times New Roman" w:hAnsi="Times New Roman" w:cs="Times New Roman"/>
          <w:color w:val="0000FF"/>
          <w:szCs w:val="24"/>
          <w:u w:val="single"/>
        </w:rPr>
        <w:t>[10]</w:t>
      </w:r>
      <w:r w:rsidRPr="0061021D">
        <w:rPr>
          <w:rFonts w:ascii="Times New Roman" w:eastAsia="Times New Roman" w:hAnsi="Times New Roman" w:cs="Times New Roman"/>
          <w:szCs w:val="24"/>
        </w:rPr>
        <w:fldChar w:fldCharType="end"/>
      </w:r>
      <w:bookmarkEnd w:id="28"/>
      <w:r w:rsidRPr="0061021D">
        <w:rPr>
          <w:rFonts w:ascii="Times New Roman" w:eastAsia="Times New Roman" w:hAnsi="Times New Roman" w:cs="Times New Roman"/>
          <w:szCs w:val="24"/>
        </w:rPr>
        <w:t xml:space="preserve"> </w:t>
      </w:r>
      <w:r w:rsidRPr="0061021D">
        <w:rPr>
          <w:rFonts w:ascii="Times New Roman" w:eastAsia="Times New Roman" w:hAnsi="Times New Roman" w:cs="Times New Roman"/>
          <w:i/>
          <w:iCs/>
          <w:szCs w:val="24"/>
        </w:rPr>
        <w:t xml:space="preserve">Re TDL Group Corp </w:t>
      </w:r>
      <w:r w:rsidRPr="0061021D">
        <w:rPr>
          <w:rFonts w:ascii="Times New Roman" w:eastAsia="Times New Roman" w:hAnsi="Times New Roman" w:cs="Times New Roman"/>
          <w:szCs w:val="24"/>
        </w:rPr>
        <w:t>63) (OMB) at paras 35-36.</w:t>
      </w:r>
    </w:p>
    <w:bookmarkStart w:id="29" w:name="_ftn11"/>
    <w:p w14:paraId="7AB90872" w14:textId="77777777" w:rsidR="0061021D" w:rsidRPr="0061021D" w:rsidRDefault="0061021D" w:rsidP="0061021D">
      <w:pPr>
        <w:spacing w:before="100" w:beforeAutospacing="1" w:after="100" w:afterAutospacing="1" w:line="240" w:lineRule="auto"/>
        <w:rPr>
          <w:rFonts w:ascii="Times New Roman" w:eastAsia="Times New Roman" w:hAnsi="Times New Roman" w:cs="Times New Roman"/>
          <w:szCs w:val="24"/>
        </w:rPr>
      </w:pPr>
      <w:r w:rsidRPr="0061021D">
        <w:rPr>
          <w:rFonts w:ascii="Times New Roman" w:eastAsia="Times New Roman" w:hAnsi="Times New Roman" w:cs="Times New Roman"/>
          <w:szCs w:val="24"/>
        </w:rPr>
        <w:fldChar w:fldCharType="begin"/>
      </w:r>
      <w:r w:rsidRPr="0061021D">
        <w:rPr>
          <w:rFonts w:ascii="Times New Roman" w:eastAsia="Times New Roman" w:hAnsi="Times New Roman" w:cs="Times New Roman"/>
          <w:szCs w:val="24"/>
        </w:rPr>
        <w:instrText xml:space="preserve"> HYPERLINK "https://gowlingwlg.com/en/insights-resources/articles/2021/legal-nonconforming-rights-trilogy-in-ontario/" \l "_ftnref11" \o "" </w:instrText>
      </w:r>
      <w:r w:rsidRPr="0061021D">
        <w:rPr>
          <w:rFonts w:ascii="Times New Roman" w:eastAsia="Times New Roman" w:hAnsi="Times New Roman" w:cs="Times New Roman"/>
          <w:szCs w:val="24"/>
        </w:rPr>
        <w:fldChar w:fldCharType="separate"/>
      </w:r>
      <w:r w:rsidRPr="0061021D">
        <w:rPr>
          <w:rFonts w:ascii="Times New Roman" w:eastAsia="Times New Roman" w:hAnsi="Times New Roman" w:cs="Times New Roman"/>
          <w:color w:val="0000FF"/>
          <w:szCs w:val="24"/>
          <w:u w:val="single"/>
        </w:rPr>
        <w:t>[11]</w:t>
      </w:r>
      <w:r w:rsidRPr="0061021D">
        <w:rPr>
          <w:rFonts w:ascii="Times New Roman" w:eastAsia="Times New Roman" w:hAnsi="Times New Roman" w:cs="Times New Roman"/>
          <w:szCs w:val="24"/>
        </w:rPr>
        <w:fldChar w:fldCharType="end"/>
      </w:r>
      <w:bookmarkEnd w:id="29"/>
      <w:r w:rsidRPr="0061021D">
        <w:rPr>
          <w:rFonts w:ascii="Times New Roman" w:eastAsia="Times New Roman" w:hAnsi="Times New Roman" w:cs="Times New Roman"/>
          <w:szCs w:val="24"/>
        </w:rPr>
        <w:t xml:space="preserve"> </w:t>
      </w:r>
      <w:r w:rsidRPr="0061021D">
        <w:rPr>
          <w:rFonts w:ascii="Times New Roman" w:eastAsia="Times New Roman" w:hAnsi="Times New Roman" w:cs="Times New Roman"/>
          <w:i/>
          <w:iCs/>
          <w:szCs w:val="24"/>
        </w:rPr>
        <w:t xml:space="preserve">Re TDL Group Corp </w:t>
      </w:r>
      <w:r w:rsidRPr="0061021D">
        <w:rPr>
          <w:rFonts w:ascii="Times New Roman" w:eastAsia="Times New Roman" w:hAnsi="Times New Roman" w:cs="Times New Roman"/>
          <w:szCs w:val="24"/>
        </w:rPr>
        <w:t>[2009] O.J. No. 4816 (</w:t>
      </w:r>
      <w:proofErr w:type="spellStart"/>
      <w:r w:rsidRPr="0061021D">
        <w:rPr>
          <w:rFonts w:ascii="Times New Roman" w:eastAsia="Times New Roman" w:hAnsi="Times New Roman" w:cs="Times New Roman"/>
          <w:szCs w:val="24"/>
        </w:rPr>
        <w:t>Ont</w:t>
      </w:r>
      <w:proofErr w:type="spellEnd"/>
      <w:r w:rsidRPr="0061021D">
        <w:rPr>
          <w:rFonts w:ascii="Times New Roman" w:eastAsia="Times New Roman" w:hAnsi="Times New Roman" w:cs="Times New Roman"/>
          <w:szCs w:val="24"/>
        </w:rPr>
        <w:t xml:space="preserve"> </w:t>
      </w:r>
      <w:proofErr w:type="spellStart"/>
      <w:r w:rsidRPr="0061021D">
        <w:rPr>
          <w:rFonts w:ascii="Times New Roman" w:eastAsia="Times New Roman" w:hAnsi="Times New Roman" w:cs="Times New Roman"/>
          <w:szCs w:val="24"/>
        </w:rPr>
        <w:t>Div</w:t>
      </w:r>
      <w:proofErr w:type="spellEnd"/>
      <w:r w:rsidRPr="0061021D">
        <w:rPr>
          <w:rFonts w:ascii="Times New Roman" w:eastAsia="Times New Roman" w:hAnsi="Times New Roman" w:cs="Times New Roman"/>
          <w:szCs w:val="24"/>
        </w:rPr>
        <w:t xml:space="preserve"> Ct.).</w:t>
      </w:r>
    </w:p>
    <w:bookmarkStart w:id="30" w:name="_ftn12"/>
    <w:p w14:paraId="278600B1" w14:textId="77777777" w:rsidR="0061021D" w:rsidRPr="0061021D" w:rsidRDefault="0061021D" w:rsidP="0061021D">
      <w:pPr>
        <w:spacing w:before="100" w:beforeAutospacing="1" w:after="100" w:afterAutospacing="1" w:line="240" w:lineRule="auto"/>
        <w:rPr>
          <w:rFonts w:ascii="Times New Roman" w:eastAsia="Times New Roman" w:hAnsi="Times New Roman" w:cs="Times New Roman"/>
          <w:szCs w:val="24"/>
        </w:rPr>
      </w:pPr>
      <w:r w:rsidRPr="0061021D">
        <w:rPr>
          <w:rFonts w:ascii="Times New Roman" w:eastAsia="Times New Roman" w:hAnsi="Times New Roman" w:cs="Times New Roman"/>
          <w:szCs w:val="24"/>
        </w:rPr>
        <w:fldChar w:fldCharType="begin"/>
      </w:r>
      <w:r w:rsidRPr="0061021D">
        <w:rPr>
          <w:rFonts w:ascii="Times New Roman" w:eastAsia="Times New Roman" w:hAnsi="Times New Roman" w:cs="Times New Roman"/>
          <w:szCs w:val="24"/>
        </w:rPr>
        <w:instrText xml:space="preserve"> HYPERLINK "https://gowlingwlg.com/en/insights-resources/articles/2021/legal-nonconforming-rights-trilogy-in-ontario/" \l "_ftnref12" \o "" </w:instrText>
      </w:r>
      <w:r w:rsidRPr="0061021D">
        <w:rPr>
          <w:rFonts w:ascii="Times New Roman" w:eastAsia="Times New Roman" w:hAnsi="Times New Roman" w:cs="Times New Roman"/>
          <w:szCs w:val="24"/>
        </w:rPr>
        <w:fldChar w:fldCharType="separate"/>
      </w:r>
      <w:r w:rsidRPr="0061021D">
        <w:rPr>
          <w:rFonts w:ascii="Times New Roman" w:eastAsia="Times New Roman" w:hAnsi="Times New Roman" w:cs="Times New Roman"/>
          <w:color w:val="0000FF"/>
          <w:szCs w:val="24"/>
          <w:u w:val="single"/>
        </w:rPr>
        <w:t>[12]</w:t>
      </w:r>
      <w:r w:rsidRPr="0061021D">
        <w:rPr>
          <w:rFonts w:ascii="Times New Roman" w:eastAsia="Times New Roman" w:hAnsi="Times New Roman" w:cs="Times New Roman"/>
          <w:szCs w:val="24"/>
        </w:rPr>
        <w:fldChar w:fldCharType="end"/>
      </w:r>
      <w:bookmarkEnd w:id="30"/>
      <w:r w:rsidRPr="0061021D">
        <w:rPr>
          <w:rFonts w:ascii="Times New Roman" w:eastAsia="Times New Roman" w:hAnsi="Times New Roman" w:cs="Times New Roman"/>
          <w:szCs w:val="24"/>
        </w:rPr>
        <w:t xml:space="preserve"> </w:t>
      </w:r>
      <w:r w:rsidRPr="0061021D">
        <w:rPr>
          <w:rFonts w:ascii="Times New Roman" w:eastAsia="Times New Roman" w:hAnsi="Times New Roman" w:cs="Times New Roman"/>
          <w:i/>
          <w:iCs/>
          <w:szCs w:val="24"/>
        </w:rPr>
        <w:t xml:space="preserve">Brougham </w:t>
      </w:r>
      <w:r w:rsidRPr="0061021D">
        <w:rPr>
          <w:rFonts w:ascii="Times New Roman" w:eastAsia="Times New Roman" w:hAnsi="Times New Roman" w:cs="Times New Roman"/>
          <w:szCs w:val="24"/>
        </w:rPr>
        <w:t>at paras 82-83.</w:t>
      </w:r>
    </w:p>
    <w:bookmarkStart w:id="31" w:name="_ftn13"/>
    <w:p w14:paraId="5AD542C4" w14:textId="77777777" w:rsidR="0061021D" w:rsidRPr="0061021D" w:rsidRDefault="0061021D" w:rsidP="0061021D">
      <w:pPr>
        <w:spacing w:before="100" w:beforeAutospacing="1" w:after="100" w:afterAutospacing="1" w:line="240" w:lineRule="auto"/>
        <w:rPr>
          <w:rFonts w:ascii="Times New Roman" w:eastAsia="Times New Roman" w:hAnsi="Times New Roman" w:cs="Times New Roman"/>
          <w:szCs w:val="24"/>
        </w:rPr>
      </w:pPr>
      <w:r w:rsidRPr="0061021D">
        <w:rPr>
          <w:rFonts w:ascii="Times New Roman" w:eastAsia="Times New Roman" w:hAnsi="Times New Roman" w:cs="Times New Roman"/>
          <w:szCs w:val="24"/>
        </w:rPr>
        <w:fldChar w:fldCharType="begin"/>
      </w:r>
      <w:r w:rsidRPr="0061021D">
        <w:rPr>
          <w:rFonts w:ascii="Times New Roman" w:eastAsia="Times New Roman" w:hAnsi="Times New Roman" w:cs="Times New Roman"/>
          <w:szCs w:val="24"/>
        </w:rPr>
        <w:instrText xml:space="preserve"> HYPERLINK "https://gowlingwlg.com/en/insights-resources/articles/2021/legal-nonconforming-rights-trilogy-in-ontario/" \l "_ftnref13" \o "" </w:instrText>
      </w:r>
      <w:r w:rsidRPr="0061021D">
        <w:rPr>
          <w:rFonts w:ascii="Times New Roman" w:eastAsia="Times New Roman" w:hAnsi="Times New Roman" w:cs="Times New Roman"/>
          <w:szCs w:val="24"/>
        </w:rPr>
        <w:fldChar w:fldCharType="separate"/>
      </w:r>
      <w:r w:rsidRPr="0061021D">
        <w:rPr>
          <w:rFonts w:ascii="Times New Roman" w:eastAsia="Times New Roman" w:hAnsi="Times New Roman" w:cs="Times New Roman"/>
          <w:color w:val="0000FF"/>
          <w:szCs w:val="24"/>
          <w:u w:val="single"/>
        </w:rPr>
        <w:t>[13]</w:t>
      </w:r>
      <w:r w:rsidRPr="0061021D">
        <w:rPr>
          <w:rFonts w:ascii="Times New Roman" w:eastAsia="Times New Roman" w:hAnsi="Times New Roman" w:cs="Times New Roman"/>
          <w:szCs w:val="24"/>
        </w:rPr>
        <w:fldChar w:fldCharType="end"/>
      </w:r>
      <w:bookmarkEnd w:id="31"/>
      <w:r w:rsidRPr="0061021D">
        <w:rPr>
          <w:rFonts w:ascii="Times New Roman" w:eastAsia="Times New Roman" w:hAnsi="Times New Roman" w:cs="Times New Roman"/>
          <w:szCs w:val="24"/>
        </w:rPr>
        <w:t xml:space="preserve"> </w:t>
      </w:r>
      <w:r w:rsidRPr="0061021D">
        <w:rPr>
          <w:rFonts w:ascii="Times New Roman" w:eastAsia="Times New Roman" w:hAnsi="Times New Roman" w:cs="Times New Roman"/>
          <w:i/>
          <w:iCs/>
          <w:szCs w:val="24"/>
        </w:rPr>
        <w:t xml:space="preserve">Brougham </w:t>
      </w:r>
      <w:r w:rsidRPr="0061021D">
        <w:rPr>
          <w:rFonts w:ascii="Times New Roman" w:eastAsia="Times New Roman" w:hAnsi="Times New Roman" w:cs="Times New Roman"/>
          <w:szCs w:val="24"/>
        </w:rPr>
        <w:t>at para 56.</w:t>
      </w:r>
    </w:p>
    <w:bookmarkStart w:id="32" w:name="_ftn14"/>
    <w:p w14:paraId="426F4972" w14:textId="77777777" w:rsidR="0061021D" w:rsidRPr="0061021D" w:rsidRDefault="0061021D" w:rsidP="0061021D">
      <w:pPr>
        <w:spacing w:before="100" w:beforeAutospacing="1" w:after="100" w:afterAutospacing="1" w:line="240" w:lineRule="auto"/>
        <w:rPr>
          <w:rFonts w:ascii="Times New Roman" w:eastAsia="Times New Roman" w:hAnsi="Times New Roman" w:cs="Times New Roman"/>
          <w:szCs w:val="24"/>
        </w:rPr>
      </w:pPr>
      <w:r w:rsidRPr="0061021D">
        <w:rPr>
          <w:rFonts w:ascii="Times New Roman" w:eastAsia="Times New Roman" w:hAnsi="Times New Roman" w:cs="Times New Roman"/>
          <w:szCs w:val="24"/>
        </w:rPr>
        <w:fldChar w:fldCharType="begin"/>
      </w:r>
      <w:r w:rsidRPr="0061021D">
        <w:rPr>
          <w:rFonts w:ascii="Times New Roman" w:eastAsia="Times New Roman" w:hAnsi="Times New Roman" w:cs="Times New Roman"/>
          <w:szCs w:val="24"/>
        </w:rPr>
        <w:instrText xml:space="preserve"> HYPERLINK "https://gowlingwlg.com/en/insights-resources/articles/2021/legal-nonconforming-rights-trilogy-in-ontario/" \l "_ftnref14" \o "" </w:instrText>
      </w:r>
      <w:r w:rsidRPr="0061021D">
        <w:rPr>
          <w:rFonts w:ascii="Times New Roman" w:eastAsia="Times New Roman" w:hAnsi="Times New Roman" w:cs="Times New Roman"/>
          <w:szCs w:val="24"/>
        </w:rPr>
        <w:fldChar w:fldCharType="separate"/>
      </w:r>
      <w:r w:rsidRPr="0061021D">
        <w:rPr>
          <w:rFonts w:ascii="Times New Roman" w:eastAsia="Times New Roman" w:hAnsi="Times New Roman" w:cs="Times New Roman"/>
          <w:color w:val="0000FF"/>
          <w:szCs w:val="24"/>
          <w:u w:val="single"/>
        </w:rPr>
        <w:t>[14]</w:t>
      </w:r>
      <w:r w:rsidRPr="0061021D">
        <w:rPr>
          <w:rFonts w:ascii="Times New Roman" w:eastAsia="Times New Roman" w:hAnsi="Times New Roman" w:cs="Times New Roman"/>
          <w:szCs w:val="24"/>
        </w:rPr>
        <w:fldChar w:fldCharType="end"/>
      </w:r>
      <w:bookmarkEnd w:id="32"/>
      <w:r w:rsidRPr="0061021D">
        <w:rPr>
          <w:rFonts w:ascii="Times New Roman" w:eastAsia="Times New Roman" w:hAnsi="Times New Roman" w:cs="Times New Roman"/>
          <w:szCs w:val="24"/>
        </w:rPr>
        <w:t xml:space="preserve"> </w:t>
      </w:r>
      <w:r w:rsidRPr="0061021D">
        <w:rPr>
          <w:rFonts w:ascii="Times New Roman" w:eastAsia="Times New Roman" w:hAnsi="Times New Roman" w:cs="Times New Roman"/>
          <w:i/>
          <w:iCs/>
          <w:szCs w:val="24"/>
        </w:rPr>
        <w:t xml:space="preserve">Brougham </w:t>
      </w:r>
      <w:r w:rsidRPr="0061021D">
        <w:rPr>
          <w:rFonts w:ascii="Times New Roman" w:eastAsia="Times New Roman" w:hAnsi="Times New Roman" w:cs="Times New Roman"/>
          <w:szCs w:val="24"/>
        </w:rPr>
        <w:t>at paras 72-75 and 84.</w:t>
      </w:r>
    </w:p>
    <w:bookmarkStart w:id="33" w:name="_ftn15"/>
    <w:p w14:paraId="42617800" w14:textId="77777777" w:rsidR="0061021D" w:rsidRPr="0061021D" w:rsidRDefault="0061021D" w:rsidP="0061021D">
      <w:pPr>
        <w:spacing w:before="100" w:beforeAutospacing="1" w:after="100" w:afterAutospacing="1" w:line="240" w:lineRule="auto"/>
        <w:rPr>
          <w:rFonts w:ascii="Times New Roman" w:eastAsia="Times New Roman" w:hAnsi="Times New Roman" w:cs="Times New Roman"/>
          <w:szCs w:val="24"/>
        </w:rPr>
      </w:pPr>
      <w:r w:rsidRPr="0061021D">
        <w:rPr>
          <w:rFonts w:ascii="Times New Roman" w:eastAsia="Times New Roman" w:hAnsi="Times New Roman" w:cs="Times New Roman"/>
          <w:szCs w:val="24"/>
        </w:rPr>
        <w:fldChar w:fldCharType="begin"/>
      </w:r>
      <w:r w:rsidRPr="0061021D">
        <w:rPr>
          <w:rFonts w:ascii="Times New Roman" w:eastAsia="Times New Roman" w:hAnsi="Times New Roman" w:cs="Times New Roman"/>
          <w:szCs w:val="24"/>
        </w:rPr>
        <w:instrText xml:space="preserve"> HYPERLINK "https://gowlingwlg.com/en/insights-resources/articles/2021/legal-nonconforming-rights-trilogy-in-ontario/" \l "_ftnref15" \o "" </w:instrText>
      </w:r>
      <w:r w:rsidRPr="0061021D">
        <w:rPr>
          <w:rFonts w:ascii="Times New Roman" w:eastAsia="Times New Roman" w:hAnsi="Times New Roman" w:cs="Times New Roman"/>
          <w:szCs w:val="24"/>
        </w:rPr>
        <w:fldChar w:fldCharType="separate"/>
      </w:r>
      <w:r w:rsidRPr="0061021D">
        <w:rPr>
          <w:rFonts w:ascii="Times New Roman" w:eastAsia="Times New Roman" w:hAnsi="Times New Roman" w:cs="Times New Roman"/>
          <w:color w:val="0000FF"/>
          <w:szCs w:val="24"/>
          <w:u w:val="single"/>
        </w:rPr>
        <w:t>[15]</w:t>
      </w:r>
      <w:r w:rsidRPr="0061021D">
        <w:rPr>
          <w:rFonts w:ascii="Times New Roman" w:eastAsia="Times New Roman" w:hAnsi="Times New Roman" w:cs="Times New Roman"/>
          <w:szCs w:val="24"/>
        </w:rPr>
        <w:fldChar w:fldCharType="end"/>
      </w:r>
      <w:bookmarkEnd w:id="33"/>
      <w:r w:rsidRPr="0061021D">
        <w:rPr>
          <w:rFonts w:ascii="Times New Roman" w:eastAsia="Times New Roman" w:hAnsi="Times New Roman" w:cs="Times New Roman"/>
          <w:szCs w:val="24"/>
        </w:rPr>
        <w:t xml:space="preserve"> </w:t>
      </w:r>
      <w:r w:rsidRPr="0061021D">
        <w:rPr>
          <w:rFonts w:ascii="Times New Roman" w:eastAsia="Times New Roman" w:hAnsi="Times New Roman" w:cs="Times New Roman"/>
          <w:i/>
          <w:iCs/>
          <w:szCs w:val="24"/>
        </w:rPr>
        <w:t xml:space="preserve">Fraser, supra </w:t>
      </w:r>
      <w:r w:rsidRPr="0061021D">
        <w:rPr>
          <w:rFonts w:ascii="Times New Roman" w:eastAsia="Times New Roman" w:hAnsi="Times New Roman" w:cs="Times New Roman"/>
          <w:szCs w:val="24"/>
        </w:rPr>
        <w:t>at para 34.</w:t>
      </w:r>
    </w:p>
    <w:bookmarkStart w:id="34" w:name="_ftn16"/>
    <w:p w14:paraId="30456CD2" w14:textId="77777777" w:rsidR="0061021D" w:rsidRPr="0061021D" w:rsidRDefault="0061021D" w:rsidP="0061021D">
      <w:pPr>
        <w:spacing w:before="100" w:beforeAutospacing="1" w:after="100" w:afterAutospacing="1" w:line="240" w:lineRule="auto"/>
        <w:rPr>
          <w:rFonts w:ascii="Times New Roman" w:eastAsia="Times New Roman" w:hAnsi="Times New Roman" w:cs="Times New Roman"/>
          <w:szCs w:val="24"/>
        </w:rPr>
      </w:pPr>
      <w:r w:rsidRPr="0061021D">
        <w:rPr>
          <w:rFonts w:ascii="Times New Roman" w:eastAsia="Times New Roman" w:hAnsi="Times New Roman" w:cs="Times New Roman"/>
          <w:szCs w:val="24"/>
        </w:rPr>
        <w:fldChar w:fldCharType="begin"/>
      </w:r>
      <w:r w:rsidRPr="0061021D">
        <w:rPr>
          <w:rFonts w:ascii="Times New Roman" w:eastAsia="Times New Roman" w:hAnsi="Times New Roman" w:cs="Times New Roman"/>
          <w:szCs w:val="24"/>
        </w:rPr>
        <w:instrText xml:space="preserve"> HYPERLINK "https://gowlingwlg.com/en/insights-resources/articles/2021/legal-nonconforming-rights-trilogy-in-ontario/" \l "_ftnref16" \o "" </w:instrText>
      </w:r>
      <w:r w:rsidRPr="0061021D">
        <w:rPr>
          <w:rFonts w:ascii="Times New Roman" w:eastAsia="Times New Roman" w:hAnsi="Times New Roman" w:cs="Times New Roman"/>
          <w:szCs w:val="24"/>
        </w:rPr>
        <w:fldChar w:fldCharType="separate"/>
      </w:r>
      <w:r w:rsidRPr="0061021D">
        <w:rPr>
          <w:rFonts w:ascii="Times New Roman" w:eastAsia="Times New Roman" w:hAnsi="Times New Roman" w:cs="Times New Roman"/>
          <w:color w:val="0000FF"/>
          <w:szCs w:val="24"/>
          <w:u w:val="single"/>
        </w:rPr>
        <w:t>[16]</w:t>
      </w:r>
      <w:r w:rsidRPr="0061021D">
        <w:rPr>
          <w:rFonts w:ascii="Times New Roman" w:eastAsia="Times New Roman" w:hAnsi="Times New Roman" w:cs="Times New Roman"/>
          <w:szCs w:val="24"/>
        </w:rPr>
        <w:fldChar w:fldCharType="end"/>
      </w:r>
      <w:bookmarkEnd w:id="34"/>
      <w:r w:rsidRPr="0061021D">
        <w:rPr>
          <w:rFonts w:ascii="Times New Roman" w:eastAsia="Times New Roman" w:hAnsi="Times New Roman" w:cs="Times New Roman"/>
          <w:szCs w:val="24"/>
        </w:rPr>
        <w:t xml:space="preserve"> </w:t>
      </w:r>
      <w:r w:rsidRPr="0061021D">
        <w:rPr>
          <w:rFonts w:ascii="Times New Roman" w:eastAsia="Times New Roman" w:hAnsi="Times New Roman" w:cs="Times New Roman"/>
          <w:i/>
          <w:iCs/>
          <w:szCs w:val="24"/>
        </w:rPr>
        <w:t xml:space="preserve">Fraser </w:t>
      </w:r>
      <w:r w:rsidRPr="0061021D">
        <w:rPr>
          <w:rFonts w:ascii="Times New Roman" w:eastAsia="Times New Roman" w:hAnsi="Times New Roman" w:cs="Times New Roman"/>
          <w:szCs w:val="24"/>
        </w:rPr>
        <w:t>at paras 67-68.</w:t>
      </w:r>
    </w:p>
    <w:bookmarkStart w:id="35" w:name="_ftn17"/>
    <w:p w14:paraId="726C7F70" w14:textId="77777777" w:rsidR="0061021D" w:rsidRPr="0061021D" w:rsidRDefault="0061021D" w:rsidP="0061021D">
      <w:pPr>
        <w:spacing w:before="100" w:beforeAutospacing="1" w:after="100" w:afterAutospacing="1" w:line="240" w:lineRule="auto"/>
        <w:rPr>
          <w:rFonts w:ascii="Times New Roman" w:eastAsia="Times New Roman" w:hAnsi="Times New Roman" w:cs="Times New Roman"/>
          <w:szCs w:val="24"/>
        </w:rPr>
      </w:pPr>
      <w:r w:rsidRPr="0061021D">
        <w:rPr>
          <w:rFonts w:ascii="Times New Roman" w:eastAsia="Times New Roman" w:hAnsi="Times New Roman" w:cs="Times New Roman"/>
          <w:szCs w:val="24"/>
        </w:rPr>
        <w:fldChar w:fldCharType="begin"/>
      </w:r>
      <w:r w:rsidRPr="0061021D">
        <w:rPr>
          <w:rFonts w:ascii="Times New Roman" w:eastAsia="Times New Roman" w:hAnsi="Times New Roman" w:cs="Times New Roman"/>
          <w:szCs w:val="24"/>
        </w:rPr>
        <w:instrText xml:space="preserve"> HYPERLINK "https://gowlingwlg.com/en/insights-resources/articles/2021/legal-nonconforming-rights-trilogy-in-ontario/" \l "_ftnref17" \o "" </w:instrText>
      </w:r>
      <w:r w:rsidRPr="0061021D">
        <w:rPr>
          <w:rFonts w:ascii="Times New Roman" w:eastAsia="Times New Roman" w:hAnsi="Times New Roman" w:cs="Times New Roman"/>
          <w:szCs w:val="24"/>
        </w:rPr>
        <w:fldChar w:fldCharType="separate"/>
      </w:r>
      <w:r w:rsidRPr="0061021D">
        <w:rPr>
          <w:rFonts w:ascii="Times New Roman" w:eastAsia="Times New Roman" w:hAnsi="Times New Roman" w:cs="Times New Roman"/>
          <w:color w:val="0000FF"/>
          <w:szCs w:val="24"/>
          <w:u w:val="single"/>
        </w:rPr>
        <w:t>[17]</w:t>
      </w:r>
      <w:r w:rsidRPr="0061021D">
        <w:rPr>
          <w:rFonts w:ascii="Times New Roman" w:eastAsia="Times New Roman" w:hAnsi="Times New Roman" w:cs="Times New Roman"/>
          <w:szCs w:val="24"/>
        </w:rPr>
        <w:fldChar w:fldCharType="end"/>
      </w:r>
      <w:bookmarkEnd w:id="35"/>
      <w:r w:rsidRPr="0061021D">
        <w:rPr>
          <w:rFonts w:ascii="Times New Roman" w:eastAsia="Times New Roman" w:hAnsi="Times New Roman" w:cs="Times New Roman"/>
          <w:szCs w:val="24"/>
        </w:rPr>
        <w:t xml:space="preserve"> </w:t>
      </w:r>
      <w:r w:rsidRPr="0061021D">
        <w:rPr>
          <w:rFonts w:ascii="Times New Roman" w:eastAsia="Times New Roman" w:hAnsi="Times New Roman" w:cs="Times New Roman"/>
          <w:i/>
          <w:iCs/>
          <w:szCs w:val="24"/>
        </w:rPr>
        <w:t>Fraser</w:t>
      </w:r>
      <w:r w:rsidRPr="0061021D">
        <w:rPr>
          <w:rFonts w:ascii="Times New Roman" w:eastAsia="Times New Roman" w:hAnsi="Times New Roman" w:cs="Times New Roman"/>
          <w:szCs w:val="24"/>
        </w:rPr>
        <w:t xml:space="preserve"> at para 42.</w:t>
      </w:r>
    </w:p>
    <w:bookmarkStart w:id="36" w:name="_ftn18"/>
    <w:p w14:paraId="4761F302" w14:textId="77777777" w:rsidR="0061021D" w:rsidRPr="0061021D" w:rsidRDefault="0061021D" w:rsidP="0061021D">
      <w:pPr>
        <w:spacing w:before="100" w:beforeAutospacing="1" w:after="100" w:afterAutospacing="1" w:line="240" w:lineRule="auto"/>
        <w:rPr>
          <w:rFonts w:ascii="Times New Roman" w:eastAsia="Times New Roman" w:hAnsi="Times New Roman" w:cs="Times New Roman"/>
          <w:szCs w:val="24"/>
        </w:rPr>
      </w:pPr>
      <w:r w:rsidRPr="0061021D">
        <w:rPr>
          <w:rFonts w:ascii="Times New Roman" w:eastAsia="Times New Roman" w:hAnsi="Times New Roman" w:cs="Times New Roman"/>
          <w:szCs w:val="24"/>
        </w:rPr>
        <w:fldChar w:fldCharType="begin"/>
      </w:r>
      <w:r w:rsidRPr="0061021D">
        <w:rPr>
          <w:rFonts w:ascii="Times New Roman" w:eastAsia="Times New Roman" w:hAnsi="Times New Roman" w:cs="Times New Roman"/>
          <w:szCs w:val="24"/>
        </w:rPr>
        <w:instrText xml:space="preserve"> HYPERLINK "https://gowlingwlg.com/en/insights-resources/articles/2021/legal-nonconforming-rights-trilogy-in-ontario/" \l "_ftnref18" \o "" </w:instrText>
      </w:r>
      <w:r w:rsidRPr="0061021D">
        <w:rPr>
          <w:rFonts w:ascii="Times New Roman" w:eastAsia="Times New Roman" w:hAnsi="Times New Roman" w:cs="Times New Roman"/>
          <w:szCs w:val="24"/>
        </w:rPr>
        <w:fldChar w:fldCharType="separate"/>
      </w:r>
      <w:r w:rsidRPr="0061021D">
        <w:rPr>
          <w:rFonts w:ascii="Times New Roman" w:eastAsia="Times New Roman" w:hAnsi="Times New Roman" w:cs="Times New Roman"/>
          <w:color w:val="0000FF"/>
          <w:szCs w:val="24"/>
          <w:u w:val="single"/>
        </w:rPr>
        <w:t>[18]</w:t>
      </w:r>
      <w:r w:rsidRPr="0061021D">
        <w:rPr>
          <w:rFonts w:ascii="Times New Roman" w:eastAsia="Times New Roman" w:hAnsi="Times New Roman" w:cs="Times New Roman"/>
          <w:szCs w:val="24"/>
        </w:rPr>
        <w:fldChar w:fldCharType="end"/>
      </w:r>
      <w:bookmarkEnd w:id="36"/>
      <w:r w:rsidRPr="0061021D">
        <w:rPr>
          <w:rFonts w:ascii="Times New Roman" w:eastAsia="Times New Roman" w:hAnsi="Times New Roman" w:cs="Times New Roman"/>
          <w:szCs w:val="24"/>
        </w:rPr>
        <w:t xml:space="preserve"> </w:t>
      </w:r>
      <w:r w:rsidRPr="0061021D">
        <w:rPr>
          <w:rFonts w:ascii="Times New Roman" w:eastAsia="Times New Roman" w:hAnsi="Times New Roman" w:cs="Times New Roman"/>
          <w:i/>
          <w:iCs/>
          <w:szCs w:val="24"/>
        </w:rPr>
        <w:t xml:space="preserve">Fraser </w:t>
      </w:r>
      <w:r w:rsidRPr="0061021D">
        <w:rPr>
          <w:rFonts w:ascii="Times New Roman" w:eastAsia="Times New Roman" w:hAnsi="Times New Roman" w:cs="Times New Roman"/>
          <w:szCs w:val="24"/>
        </w:rPr>
        <w:t>at para 45.</w:t>
      </w:r>
    </w:p>
    <w:bookmarkStart w:id="37" w:name="_ftn19"/>
    <w:p w14:paraId="13B46F5E" w14:textId="77777777" w:rsidR="0061021D" w:rsidRPr="0061021D" w:rsidRDefault="0061021D" w:rsidP="0061021D">
      <w:pPr>
        <w:spacing w:before="100" w:beforeAutospacing="1" w:after="100" w:afterAutospacing="1" w:line="240" w:lineRule="auto"/>
        <w:rPr>
          <w:rFonts w:ascii="Times New Roman" w:eastAsia="Times New Roman" w:hAnsi="Times New Roman" w:cs="Times New Roman"/>
          <w:szCs w:val="24"/>
        </w:rPr>
      </w:pPr>
      <w:r w:rsidRPr="0061021D">
        <w:rPr>
          <w:rFonts w:ascii="Times New Roman" w:eastAsia="Times New Roman" w:hAnsi="Times New Roman" w:cs="Times New Roman"/>
          <w:szCs w:val="24"/>
        </w:rPr>
        <w:fldChar w:fldCharType="begin"/>
      </w:r>
      <w:r w:rsidRPr="0061021D">
        <w:rPr>
          <w:rFonts w:ascii="Times New Roman" w:eastAsia="Times New Roman" w:hAnsi="Times New Roman" w:cs="Times New Roman"/>
          <w:szCs w:val="24"/>
        </w:rPr>
        <w:instrText xml:space="preserve"> HYPERLINK "https://gowlingwlg.com/en/insights-resources/articles/2021/legal-nonconforming-rights-trilogy-in-ontario/" \l "_ftnref19" \o "" </w:instrText>
      </w:r>
      <w:r w:rsidRPr="0061021D">
        <w:rPr>
          <w:rFonts w:ascii="Times New Roman" w:eastAsia="Times New Roman" w:hAnsi="Times New Roman" w:cs="Times New Roman"/>
          <w:szCs w:val="24"/>
        </w:rPr>
        <w:fldChar w:fldCharType="separate"/>
      </w:r>
      <w:r w:rsidRPr="0061021D">
        <w:rPr>
          <w:rFonts w:ascii="Times New Roman" w:eastAsia="Times New Roman" w:hAnsi="Times New Roman" w:cs="Times New Roman"/>
          <w:color w:val="0000FF"/>
          <w:szCs w:val="24"/>
          <w:u w:val="single"/>
        </w:rPr>
        <w:t>[19]</w:t>
      </w:r>
      <w:r w:rsidRPr="0061021D">
        <w:rPr>
          <w:rFonts w:ascii="Times New Roman" w:eastAsia="Times New Roman" w:hAnsi="Times New Roman" w:cs="Times New Roman"/>
          <w:szCs w:val="24"/>
        </w:rPr>
        <w:fldChar w:fldCharType="end"/>
      </w:r>
      <w:bookmarkEnd w:id="37"/>
      <w:r w:rsidRPr="0061021D">
        <w:rPr>
          <w:rFonts w:ascii="Times New Roman" w:eastAsia="Times New Roman" w:hAnsi="Times New Roman" w:cs="Times New Roman"/>
          <w:szCs w:val="24"/>
        </w:rPr>
        <w:t xml:space="preserve"> </w:t>
      </w:r>
      <w:r w:rsidRPr="0061021D">
        <w:rPr>
          <w:rFonts w:ascii="Times New Roman" w:eastAsia="Times New Roman" w:hAnsi="Times New Roman" w:cs="Times New Roman"/>
          <w:i/>
          <w:iCs/>
          <w:szCs w:val="24"/>
        </w:rPr>
        <w:t xml:space="preserve">Fraser </w:t>
      </w:r>
      <w:r w:rsidRPr="0061021D">
        <w:rPr>
          <w:rFonts w:ascii="Times New Roman" w:eastAsia="Times New Roman" w:hAnsi="Times New Roman" w:cs="Times New Roman"/>
          <w:szCs w:val="24"/>
        </w:rPr>
        <w:t>at para 61.</w:t>
      </w:r>
    </w:p>
    <w:p w14:paraId="45544523" w14:textId="77777777" w:rsidR="0061021D" w:rsidRDefault="0061021D"/>
    <w:sectPr w:rsidR="0061021D">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740169B"/>
    <w:multiLevelType w:val="multilevel"/>
    <w:tmpl w:val="D61690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4F4B2DEF"/>
    <w:multiLevelType w:val="multilevel"/>
    <w:tmpl w:val="C13EE792"/>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 w15:restartNumberingAfterBreak="0">
    <w:nsid w:val="57982454"/>
    <w:multiLevelType w:val="multilevel"/>
    <w:tmpl w:val="C6AC613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1021D"/>
    <w:rsid w:val="003C4311"/>
    <w:rsid w:val="0061021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4943E41"/>
  <w15:chartTrackingRefBased/>
  <w15:docId w15:val="{ACECCDCC-2F19-4131-94CF-98FC87660C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theme="minorBidi"/>
        <w:sz w:val="24"/>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link w:val="Heading1Char"/>
    <w:uiPriority w:val="9"/>
    <w:qFormat/>
    <w:rsid w:val="0061021D"/>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paragraph" w:styleId="Heading2">
    <w:name w:val="heading 2"/>
    <w:basedOn w:val="Normal"/>
    <w:link w:val="Heading2Char"/>
    <w:uiPriority w:val="9"/>
    <w:qFormat/>
    <w:rsid w:val="0061021D"/>
    <w:pPr>
      <w:spacing w:before="100" w:beforeAutospacing="1" w:after="100" w:afterAutospacing="1" w:line="240" w:lineRule="auto"/>
      <w:outlineLvl w:val="1"/>
    </w:pPr>
    <w:rPr>
      <w:rFonts w:ascii="Times New Roman" w:eastAsia="Times New Roman" w:hAnsi="Times New Roman" w:cs="Times New Roman"/>
      <w:b/>
      <w:bCs/>
      <w:sz w:val="36"/>
      <w:szCs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1021D"/>
    <w:rPr>
      <w:rFonts w:ascii="Times New Roman" w:eastAsia="Times New Roman" w:hAnsi="Times New Roman" w:cs="Times New Roman"/>
      <w:b/>
      <w:bCs/>
      <w:kern w:val="36"/>
      <w:sz w:val="48"/>
      <w:szCs w:val="48"/>
    </w:rPr>
  </w:style>
  <w:style w:type="character" w:customStyle="1" w:styleId="Heading2Char">
    <w:name w:val="Heading 2 Char"/>
    <w:basedOn w:val="DefaultParagraphFont"/>
    <w:link w:val="Heading2"/>
    <w:uiPriority w:val="9"/>
    <w:rsid w:val="0061021D"/>
    <w:rPr>
      <w:rFonts w:ascii="Times New Roman" w:eastAsia="Times New Roman" w:hAnsi="Times New Roman" w:cs="Times New Roman"/>
      <w:b/>
      <w:bCs/>
      <w:sz w:val="36"/>
      <w:szCs w:val="36"/>
    </w:rPr>
  </w:style>
  <w:style w:type="character" w:styleId="Hyperlink">
    <w:name w:val="Hyperlink"/>
    <w:basedOn w:val="DefaultParagraphFont"/>
    <w:uiPriority w:val="99"/>
    <w:unhideWhenUsed/>
    <w:rsid w:val="0061021D"/>
    <w:rPr>
      <w:color w:val="0000FF"/>
      <w:u w:val="single"/>
    </w:rPr>
  </w:style>
  <w:style w:type="paragraph" w:styleId="NormalWeb">
    <w:name w:val="Normal (Web)"/>
    <w:basedOn w:val="Normal"/>
    <w:uiPriority w:val="99"/>
    <w:semiHidden/>
    <w:unhideWhenUsed/>
    <w:rsid w:val="0061021D"/>
    <w:pPr>
      <w:spacing w:before="100" w:beforeAutospacing="1" w:after="100" w:afterAutospacing="1" w:line="240" w:lineRule="auto"/>
    </w:pPr>
    <w:rPr>
      <w:rFonts w:ascii="Times New Roman" w:eastAsia="Times New Roman" w:hAnsi="Times New Roman" w:cs="Times New Roman"/>
      <w:szCs w:val="24"/>
    </w:rPr>
  </w:style>
  <w:style w:type="character" w:styleId="Emphasis">
    <w:name w:val="Emphasis"/>
    <w:basedOn w:val="DefaultParagraphFont"/>
    <w:uiPriority w:val="20"/>
    <w:qFormat/>
    <w:rsid w:val="0061021D"/>
    <w:rPr>
      <w:i/>
      <w:iCs/>
    </w:rPr>
  </w:style>
  <w:style w:type="character" w:styleId="Strong">
    <w:name w:val="Strong"/>
    <w:basedOn w:val="DefaultParagraphFont"/>
    <w:uiPriority w:val="22"/>
    <w:qFormat/>
    <w:rsid w:val="0061021D"/>
    <w:rPr>
      <w:b/>
      <w:bCs/>
    </w:rPr>
  </w:style>
  <w:style w:type="character" w:styleId="UnresolvedMention">
    <w:name w:val="Unresolved Mention"/>
    <w:basedOn w:val="DefaultParagraphFont"/>
    <w:uiPriority w:val="99"/>
    <w:semiHidden/>
    <w:unhideWhenUsed/>
    <w:rsid w:val="0061021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62424512">
      <w:bodyDiv w:val="1"/>
      <w:marLeft w:val="0"/>
      <w:marRight w:val="0"/>
      <w:marTop w:val="0"/>
      <w:marBottom w:val="0"/>
      <w:divBdr>
        <w:top w:val="none" w:sz="0" w:space="0" w:color="auto"/>
        <w:left w:val="none" w:sz="0" w:space="0" w:color="auto"/>
        <w:bottom w:val="none" w:sz="0" w:space="0" w:color="auto"/>
        <w:right w:val="none" w:sz="0" w:space="0" w:color="auto"/>
      </w:divBdr>
      <w:divsChild>
        <w:div w:id="2060398588">
          <w:marLeft w:val="0"/>
          <w:marRight w:val="0"/>
          <w:marTop w:val="0"/>
          <w:marBottom w:val="0"/>
          <w:divBdr>
            <w:top w:val="none" w:sz="0" w:space="0" w:color="auto"/>
            <w:left w:val="none" w:sz="0" w:space="0" w:color="auto"/>
            <w:bottom w:val="none" w:sz="0" w:space="0" w:color="auto"/>
            <w:right w:val="none" w:sz="0" w:space="0" w:color="auto"/>
          </w:divBdr>
          <w:divsChild>
            <w:div w:id="2080518074">
              <w:marLeft w:val="0"/>
              <w:marRight w:val="0"/>
              <w:marTop w:val="0"/>
              <w:marBottom w:val="0"/>
              <w:divBdr>
                <w:top w:val="none" w:sz="0" w:space="0" w:color="auto"/>
                <w:left w:val="none" w:sz="0" w:space="0" w:color="auto"/>
                <w:bottom w:val="none" w:sz="0" w:space="0" w:color="auto"/>
                <w:right w:val="none" w:sz="0" w:space="0" w:color="auto"/>
              </w:divBdr>
              <w:divsChild>
                <w:div w:id="3600872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00574180">
          <w:marLeft w:val="0"/>
          <w:marRight w:val="0"/>
          <w:marTop w:val="0"/>
          <w:marBottom w:val="0"/>
          <w:divBdr>
            <w:top w:val="none" w:sz="0" w:space="0" w:color="auto"/>
            <w:left w:val="none" w:sz="0" w:space="0" w:color="auto"/>
            <w:bottom w:val="none" w:sz="0" w:space="0" w:color="auto"/>
            <w:right w:val="none" w:sz="0" w:space="0" w:color="auto"/>
          </w:divBdr>
          <w:divsChild>
            <w:div w:id="1731810333">
              <w:marLeft w:val="0"/>
              <w:marRight w:val="0"/>
              <w:marTop w:val="0"/>
              <w:marBottom w:val="0"/>
              <w:divBdr>
                <w:top w:val="none" w:sz="0" w:space="0" w:color="auto"/>
                <w:left w:val="none" w:sz="0" w:space="0" w:color="auto"/>
                <w:bottom w:val="none" w:sz="0" w:space="0" w:color="auto"/>
                <w:right w:val="none" w:sz="0" w:space="0" w:color="auto"/>
              </w:divBdr>
              <w:divsChild>
                <w:div w:id="1963919103">
                  <w:marLeft w:val="0"/>
                  <w:marRight w:val="0"/>
                  <w:marTop w:val="0"/>
                  <w:marBottom w:val="0"/>
                  <w:divBdr>
                    <w:top w:val="none" w:sz="0" w:space="0" w:color="auto"/>
                    <w:left w:val="none" w:sz="0" w:space="0" w:color="auto"/>
                    <w:bottom w:val="none" w:sz="0" w:space="0" w:color="auto"/>
                    <w:right w:val="none" w:sz="0" w:space="0" w:color="auto"/>
                  </w:divBdr>
                  <w:divsChild>
                    <w:div w:id="1147818612">
                      <w:marLeft w:val="0"/>
                      <w:marRight w:val="0"/>
                      <w:marTop w:val="0"/>
                      <w:marBottom w:val="0"/>
                      <w:divBdr>
                        <w:top w:val="none" w:sz="0" w:space="0" w:color="auto"/>
                        <w:left w:val="none" w:sz="0" w:space="0" w:color="auto"/>
                        <w:bottom w:val="none" w:sz="0" w:space="0" w:color="auto"/>
                        <w:right w:val="none" w:sz="0" w:space="0" w:color="auto"/>
                      </w:divBdr>
                      <w:divsChild>
                        <w:div w:id="1031145991">
                          <w:marLeft w:val="0"/>
                          <w:marRight w:val="0"/>
                          <w:marTop w:val="0"/>
                          <w:marBottom w:val="0"/>
                          <w:divBdr>
                            <w:top w:val="none" w:sz="0" w:space="0" w:color="auto"/>
                            <w:left w:val="none" w:sz="0" w:space="0" w:color="auto"/>
                            <w:bottom w:val="none" w:sz="0" w:space="0" w:color="auto"/>
                            <w:right w:val="none" w:sz="0" w:space="0" w:color="auto"/>
                          </w:divBdr>
                          <w:divsChild>
                            <w:div w:id="1731271252">
                              <w:marLeft w:val="0"/>
                              <w:marRight w:val="0"/>
                              <w:marTop w:val="0"/>
                              <w:marBottom w:val="0"/>
                              <w:divBdr>
                                <w:top w:val="none" w:sz="0" w:space="0" w:color="auto"/>
                                <w:left w:val="none" w:sz="0" w:space="0" w:color="auto"/>
                                <w:bottom w:val="none" w:sz="0" w:space="0" w:color="auto"/>
                                <w:right w:val="none" w:sz="0" w:space="0" w:color="auto"/>
                              </w:divBdr>
                            </w:div>
                            <w:div w:id="5603623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936738">
                      <w:marLeft w:val="0"/>
                      <w:marRight w:val="0"/>
                      <w:marTop w:val="0"/>
                      <w:marBottom w:val="0"/>
                      <w:divBdr>
                        <w:top w:val="none" w:sz="0" w:space="0" w:color="auto"/>
                        <w:left w:val="none" w:sz="0" w:space="0" w:color="auto"/>
                        <w:bottom w:val="none" w:sz="0" w:space="0" w:color="auto"/>
                        <w:right w:val="none" w:sz="0" w:space="0" w:color="auto"/>
                      </w:divBdr>
                      <w:divsChild>
                        <w:div w:id="454716137">
                          <w:marLeft w:val="0"/>
                          <w:marRight w:val="0"/>
                          <w:marTop w:val="0"/>
                          <w:marBottom w:val="0"/>
                          <w:divBdr>
                            <w:top w:val="none" w:sz="0" w:space="0" w:color="auto"/>
                            <w:left w:val="none" w:sz="0" w:space="0" w:color="auto"/>
                            <w:bottom w:val="none" w:sz="0" w:space="0" w:color="auto"/>
                            <w:right w:val="none" w:sz="0" w:space="0" w:color="auto"/>
                          </w:divBdr>
                          <w:divsChild>
                            <w:div w:id="571546205">
                              <w:marLeft w:val="0"/>
                              <w:marRight w:val="0"/>
                              <w:marTop w:val="0"/>
                              <w:marBottom w:val="0"/>
                              <w:divBdr>
                                <w:top w:val="none" w:sz="0" w:space="0" w:color="auto"/>
                                <w:left w:val="none" w:sz="0" w:space="0" w:color="auto"/>
                                <w:bottom w:val="none" w:sz="0" w:space="0" w:color="auto"/>
                                <w:right w:val="none" w:sz="0" w:space="0" w:color="auto"/>
                              </w:divBdr>
                            </w:div>
                            <w:div w:id="1829200858">
                              <w:marLeft w:val="0"/>
                              <w:marRight w:val="0"/>
                              <w:marTop w:val="0"/>
                              <w:marBottom w:val="0"/>
                              <w:divBdr>
                                <w:top w:val="none" w:sz="0" w:space="0" w:color="auto"/>
                                <w:left w:val="none" w:sz="0" w:space="0" w:color="auto"/>
                                <w:bottom w:val="none" w:sz="0" w:space="0" w:color="auto"/>
                                <w:right w:val="none" w:sz="0" w:space="0" w:color="auto"/>
                              </w:divBdr>
                            </w:div>
                            <w:div w:id="1432698401">
                              <w:marLeft w:val="0"/>
                              <w:marRight w:val="0"/>
                              <w:marTop w:val="0"/>
                              <w:marBottom w:val="0"/>
                              <w:divBdr>
                                <w:top w:val="none" w:sz="0" w:space="0" w:color="auto"/>
                                <w:left w:val="none" w:sz="0" w:space="0" w:color="auto"/>
                                <w:bottom w:val="none" w:sz="0" w:space="0" w:color="auto"/>
                                <w:right w:val="none" w:sz="0" w:space="0" w:color="auto"/>
                              </w:divBdr>
                            </w:div>
                            <w:div w:id="382292686">
                              <w:marLeft w:val="0"/>
                              <w:marRight w:val="0"/>
                              <w:marTop w:val="0"/>
                              <w:marBottom w:val="0"/>
                              <w:divBdr>
                                <w:top w:val="none" w:sz="0" w:space="0" w:color="auto"/>
                                <w:left w:val="none" w:sz="0" w:space="0" w:color="auto"/>
                                <w:bottom w:val="none" w:sz="0" w:space="0" w:color="auto"/>
                                <w:right w:val="none" w:sz="0" w:space="0" w:color="auto"/>
                              </w:divBdr>
                            </w:div>
                            <w:div w:id="1094210032">
                              <w:marLeft w:val="0"/>
                              <w:marRight w:val="0"/>
                              <w:marTop w:val="0"/>
                              <w:marBottom w:val="0"/>
                              <w:divBdr>
                                <w:top w:val="none" w:sz="0" w:space="0" w:color="auto"/>
                                <w:left w:val="none" w:sz="0" w:space="0" w:color="auto"/>
                                <w:bottom w:val="none" w:sz="0" w:space="0" w:color="auto"/>
                                <w:right w:val="none" w:sz="0" w:space="0" w:color="auto"/>
                              </w:divBdr>
                            </w:div>
                            <w:div w:id="346756223">
                              <w:marLeft w:val="0"/>
                              <w:marRight w:val="0"/>
                              <w:marTop w:val="0"/>
                              <w:marBottom w:val="0"/>
                              <w:divBdr>
                                <w:top w:val="none" w:sz="0" w:space="0" w:color="auto"/>
                                <w:left w:val="none" w:sz="0" w:space="0" w:color="auto"/>
                                <w:bottom w:val="none" w:sz="0" w:space="0" w:color="auto"/>
                                <w:right w:val="none" w:sz="0" w:space="0" w:color="auto"/>
                              </w:divBdr>
                            </w:div>
                            <w:div w:id="1791122033">
                              <w:marLeft w:val="0"/>
                              <w:marRight w:val="0"/>
                              <w:marTop w:val="0"/>
                              <w:marBottom w:val="0"/>
                              <w:divBdr>
                                <w:top w:val="none" w:sz="0" w:space="0" w:color="auto"/>
                                <w:left w:val="none" w:sz="0" w:space="0" w:color="auto"/>
                                <w:bottom w:val="none" w:sz="0" w:space="0" w:color="auto"/>
                                <w:right w:val="none" w:sz="0" w:space="0" w:color="auto"/>
                              </w:divBdr>
                            </w:div>
                            <w:div w:id="1087075954">
                              <w:marLeft w:val="0"/>
                              <w:marRight w:val="0"/>
                              <w:marTop w:val="0"/>
                              <w:marBottom w:val="0"/>
                              <w:divBdr>
                                <w:top w:val="none" w:sz="0" w:space="0" w:color="auto"/>
                                <w:left w:val="none" w:sz="0" w:space="0" w:color="auto"/>
                                <w:bottom w:val="none" w:sz="0" w:space="0" w:color="auto"/>
                                <w:right w:val="none" w:sz="0" w:space="0" w:color="auto"/>
                              </w:divBdr>
                            </w:div>
                            <w:div w:id="434908100">
                              <w:marLeft w:val="0"/>
                              <w:marRight w:val="0"/>
                              <w:marTop w:val="0"/>
                              <w:marBottom w:val="0"/>
                              <w:divBdr>
                                <w:top w:val="none" w:sz="0" w:space="0" w:color="auto"/>
                                <w:left w:val="none" w:sz="0" w:space="0" w:color="auto"/>
                                <w:bottom w:val="none" w:sz="0" w:space="0" w:color="auto"/>
                                <w:right w:val="none" w:sz="0" w:space="0" w:color="auto"/>
                              </w:divBdr>
                            </w:div>
                            <w:div w:id="50468296">
                              <w:marLeft w:val="0"/>
                              <w:marRight w:val="0"/>
                              <w:marTop w:val="0"/>
                              <w:marBottom w:val="0"/>
                              <w:divBdr>
                                <w:top w:val="none" w:sz="0" w:space="0" w:color="auto"/>
                                <w:left w:val="none" w:sz="0" w:space="0" w:color="auto"/>
                                <w:bottom w:val="none" w:sz="0" w:space="0" w:color="auto"/>
                                <w:right w:val="none" w:sz="0" w:space="0" w:color="auto"/>
                              </w:divBdr>
                            </w:div>
                            <w:div w:id="720977256">
                              <w:marLeft w:val="0"/>
                              <w:marRight w:val="0"/>
                              <w:marTop w:val="0"/>
                              <w:marBottom w:val="0"/>
                              <w:divBdr>
                                <w:top w:val="none" w:sz="0" w:space="0" w:color="auto"/>
                                <w:left w:val="none" w:sz="0" w:space="0" w:color="auto"/>
                                <w:bottom w:val="none" w:sz="0" w:space="0" w:color="auto"/>
                                <w:right w:val="none" w:sz="0" w:space="0" w:color="auto"/>
                              </w:divBdr>
                            </w:div>
                            <w:div w:id="1212881958">
                              <w:marLeft w:val="0"/>
                              <w:marRight w:val="0"/>
                              <w:marTop w:val="0"/>
                              <w:marBottom w:val="0"/>
                              <w:divBdr>
                                <w:top w:val="none" w:sz="0" w:space="0" w:color="auto"/>
                                <w:left w:val="none" w:sz="0" w:space="0" w:color="auto"/>
                                <w:bottom w:val="none" w:sz="0" w:space="0" w:color="auto"/>
                                <w:right w:val="none" w:sz="0" w:space="0" w:color="auto"/>
                              </w:divBdr>
                            </w:div>
                            <w:div w:id="1595628471">
                              <w:marLeft w:val="0"/>
                              <w:marRight w:val="0"/>
                              <w:marTop w:val="0"/>
                              <w:marBottom w:val="0"/>
                              <w:divBdr>
                                <w:top w:val="none" w:sz="0" w:space="0" w:color="auto"/>
                                <w:left w:val="none" w:sz="0" w:space="0" w:color="auto"/>
                                <w:bottom w:val="none" w:sz="0" w:space="0" w:color="auto"/>
                                <w:right w:val="none" w:sz="0" w:space="0" w:color="auto"/>
                              </w:divBdr>
                            </w:div>
                            <w:div w:id="462239428">
                              <w:marLeft w:val="0"/>
                              <w:marRight w:val="0"/>
                              <w:marTop w:val="0"/>
                              <w:marBottom w:val="0"/>
                              <w:divBdr>
                                <w:top w:val="none" w:sz="0" w:space="0" w:color="auto"/>
                                <w:left w:val="none" w:sz="0" w:space="0" w:color="auto"/>
                                <w:bottom w:val="none" w:sz="0" w:space="0" w:color="auto"/>
                                <w:right w:val="none" w:sz="0" w:space="0" w:color="auto"/>
                              </w:divBdr>
                            </w:div>
                            <w:div w:id="86508079">
                              <w:marLeft w:val="0"/>
                              <w:marRight w:val="0"/>
                              <w:marTop w:val="0"/>
                              <w:marBottom w:val="0"/>
                              <w:divBdr>
                                <w:top w:val="none" w:sz="0" w:space="0" w:color="auto"/>
                                <w:left w:val="none" w:sz="0" w:space="0" w:color="auto"/>
                                <w:bottom w:val="none" w:sz="0" w:space="0" w:color="auto"/>
                                <w:right w:val="none" w:sz="0" w:space="0" w:color="auto"/>
                              </w:divBdr>
                            </w:div>
                            <w:div w:id="1253664181">
                              <w:marLeft w:val="0"/>
                              <w:marRight w:val="0"/>
                              <w:marTop w:val="0"/>
                              <w:marBottom w:val="0"/>
                              <w:divBdr>
                                <w:top w:val="none" w:sz="0" w:space="0" w:color="auto"/>
                                <w:left w:val="none" w:sz="0" w:space="0" w:color="auto"/>
                                <w:bottom w:val="none" w:sz="0" w:space="0" w:color="auto"/>
                                <w:right w:val="none" w:sz="0" w:space="0" w:color="auto"/>
                              </w:divBdr>
                            </w:div>
                            <w:div w:id="2102330857">
                              <w:marLeft w:val="0"/>
                              <w:marRight w:val="0"/>
                              <w:marTop w:val="0"/>
                              <w:marBottom w:val="0"/>
                              <w:divBdr>
                                <w:top w:val="none" w:sz="0" w:space="0" w:color="auto"/>
                                <w:left w:val="none" w:sz="0" w:space="0" w:color="auto"/>
                                <w:bottom w:val="none" w:sz="0" w:space="0" w:color="auto"/>
                                <w:right w:val="none" w:sz="0" w:space="0" w:color="auto"/>
                              </w:divBdr>
                            </w:div>
                            <w:div w:id="882408196">
                              <w:marLeft w:val="0"/>
                              <w:marRight w:val="0"/>
                              <w:marTop w:val="0"/>
                              <w:marBottom w:val="0"/>
                              <w:divBdr>
                                <w:top w:val="none" w:sz="0" w:space="0" w:color="auto"/>
                                <w:left w:val="none" w:sz="0" w:space="0" w:color="auto"/>
                                <w:bottom w:val="none" w:sz="0" w:space="0" w:color="auto"/>
                                <w:right w:val="none" w:sz="0" w:space="0" w:color="auto"/>
                              </w:divBdr>
                            </w:div>
                            <w:div w:id="19453078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gowlingwlg.com/en/people/michael-polowin/" TargetMode="External"/><Relationship Id="rId3" Type="http://schemas.openxmlformats.org/officeDocument/2006/relationships/settings" Target="settings.xml"/><Relationship Id="rId7" Type="http://schemas.openxmlformats.org/officeDocument/2006/relationships/hyperlink" Target="https://gowlingwlg.com/en/people/jacob-polowin/"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nextcanada.westlaw.com/Link/Document/FullText?findType=Y&amp;pubNum=6407&amp;serNum=2001459344&amp;originationContext=document&amp;transitionType=Document&amp;contextData=(sc.UserEnteredCitation)" TargetMode="External"/><Relationship Id="rId5" Type="http://schemas.openxmlformats.org/officeDocument/2006/relationships/hyperlink" Target="https://gowlingwlg.com/en/insights-resources/articles/2021/legal-nonconforming-rights-trilogy-in-ontario/" TargetMode="Externa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8</Pages>
  <Words>4203</Words>
  <Characters>23961</Characters>
  <Application>Microsoft Office Word</Application>
  <DocSecurity>0</DocSecurity>
  <Lines>199</Lines>
  <Paragraphs>56</Paragraphs>
  <ScaleCrop>false</ScaleCrop>
  <Company/>
  <LinksUpToDate>false</LinksUpToDate>
  <CharactersWithSpaces>28108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JEFF</dc:creator>
  <cp:keywords/>
  <dc:description/>
  <cp:lastModifiedBy>JEFF</cp:lastModifiedBy>
  <cp:revision>1</cp:revision>
  <dcterms:created xsi:type="dcterms:W3CDTF">2021-12-19T04:06:00Z</dcterms:created>
  <dcterms:modified xsi:type="dcterms:W3CDTF">2021-12-19T04:07:00Z</dcterms:modified>
</cp:coreProperties>
</file>